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53B88" w14:textId="316F731B" w:rsidR="00240A4B" w:rsidRDefault="00240A4B" w:rsidP="00537498">
      <w:pPr>
        <w:jc w:val="center"/>
        <w:rPr>
          <w:b/>
          <w:noProof/>
          <w:color w:val="660066"/>
          <w:sz w:val="56"/>
          <w:szCs w:val="64"/>
          <w:lang w:val="en-US"/>
        </w:rPr>
      </w:pPr>
    </w:p>
    <w:p w14:paraId="608B1915" w14:textId="2BB872F1" w:rsidR="003B43D9" w:rsidRPr="00F54615" w:rsidRDefault="003B43D9" w:rsidP="00FB6DE6">
      <w:pPr>
        <w:spacing w:after="40"/>
        <w:jc w:val="center"/>
        <w:outlineLvl w:val="0"/>
        <w:rPr>
          <w:rFonts w:ascii="Arial" w:hAnsi="Arial" w:cs="Arial"/>
          <w:sz w:val="56"/>
          <w:szCs w:val="56"/>
        </w:rPr>
      </w:pPr>
      <w:r w:rsidRPr="00F54615">
        <w:rPr>
          <w:rFonts w:ascii="Arial" w:hAnsi="Arial" w:cs="Arial"/>
          <w:sz w:val="56"/>
          <w:szCs w:val="56"/>
        </w:rPr>
        <w:t>Discover Research Platform</w:t>
      </w:r>
    </w:p>
    <w:p w14:paraId="5E1E4344" w14:textId="77777777" w:rsidR="003B43D9" w:rsidRPr="00537498" w:rsidRDefault="003B43D9" w:rsidP="00B7043A">
      <w:pPr>
        <w:spacing w:after="40"/>
        <w:outlineLvl w:val="0"/>
        <w:rPr>
          <w:rFonts w:ascii="Arial" w:hAnsi="Arial" w:cs="Arial"/>
          <w:color w:val="00969E"/>
          <w:sz w:val="28"/>
          <w:szCs w:val="28"/>
        </w:rPr>
      </w:pPr>
    </w:p>
    <w:p w14:paraId="3071510B" w14:textId="188268E9" w:rsidR="003B43D9" w:rsidRPr="00FB6DE6" w:rsidRDefault="00240A4B" w:rsidP="00FB6DE6">
      <w:pPr>
        <w:tabs>
          <w:tab w:val="left" w:pos="993"/>
        </w:tabs>
        <w:jc w:val="center"/>
        <w:rPr>
          <w:rFonts w:ascii="Arial" w:eastAsia="Calibri" w:hAnsi="Arial" w:cs="Arial"/>
          <w:b/>
          <w:sz w:val="36"/>
          <w:szCs w:val="36"/>
        </w:rPr>
      </w:pPr>
      <w:r w:rsidRPr="00D72126">
        <w:rPr>
          <w:rFonts w:ascii="Arial" w:eastAsia="Calibri" w:hAnsi="Arial" w:cs="Arial"/>
          <w:b/>
          <w:sz w:val="36"/>
          <w:szCs w:val="36"/>
        </w:rPr>
        <w:t>Data Access Guidelines</w:t>
      </w:r>
    </w:p>
    <w:p w14:paraId="582E148B" w14:textId="3A1934ED" w:rsidR="00240A4B" w:rsidRPr="00D72126" w:rsidRDefault="00240A4B" w:rsidP="00240A4B">
      <w:pPr>
        <w:jc w:val="both"/>
        <w:rPr>
          <w:rFonts w:ascii="Arial" w:hAnsi="Arial" w:cs="Arial"/>
        </w:rPr>
      </w:pPr>
      <w:r w:rsidRPr="00D72126">
        <w:rPr>
          <w:rFonts w:ascii="Arial" w:hAnsi="Arial" w:cs="Arial"/>
        </w:rPr>
        <w:t xml:space="preserve">Discover can be used by approved health care researchers for assessing study feasibility, retrospective research and recruiting potential study participants. More information on the </w:t>
      </w:r>
      <w:r w:rsidR="008646F9">
        <w:rPr>
          <w:rFonts w:ascii="Arial" w:hAnsi="Arial" w:cs="Arial"/>
        </w:rPr>
        <w:t xml:space="preserve">NWL </w:t>
      </w:r>
      <w:r w:rsidRPr="00D72126">
        <w:rPr>
          <w:rFonts w:ascii="Arial" w:hAnsi="Arial" w:cs="Arial"/>
        </w:rPr>
        <w:t>Health</w:t>
      </w:r>
      <w:r w:rsidR="00914A26">
        <w:rPr>
          <w:rFonts w:ascii="Arial" w:hAnsi="Arial" w:cs="Arial"/>
        </w:rPr>
        <w:t xml:space="preserve"> </w:t>
      </w:r>
      <w:r w:rsidRPr="00D72126">
        <w:rPr>
          <w:rFonts w:ascii="Arial" w:hAnsi="Arial" w:cs="Arial"/>
        </w:rPr>
        <w:t xml:space="preserve">Research register can be found at </w:t>
      </w:r>
      <w:hyperlink r:id="rId11" w:history="1">
        <w:r w:rsidRPr="00D72126">
          <w:rPr>
            <w:rStyle w:val="Hyperlink"/>
            <w:rFonts w:ascii="Arial" w:hAnsi="Arial" w:cs="Arial"/>
          </w:rPr>
          <w:t>https://registerfordiscover.org.uk</w:t>
        </w:r>
      </w:hyperlink>
      <w:r w:rsidRPr="00D72126">
        <w:rPr>
          <w:rFonts w:ascii="Arial" w:hAnsi="Arial" w:cs="Arial"/>
        </w:rPr>
        <w:t xml:space="preserve">. </w:t>
      </w:r>
      <w:r w:rsidR="00E73E28" w:rsidRPr="00D72126">
        <w:rPr>
          <w:rFonts w:ascii="Arial" w:hAnsi="Arial" w:cs="Arial"/>
        </w:rPr>
        <w:t xml:space="preserve">This document provides information on the application and assessment process, detailing what is involved, the review criteria and the feedback and appeals process. </w:t>
      </w:r>
    </w:p>
    <w:p w14:paraId="55D18E36" w14:textId="77777777" w:rsidR="005F3C3B" w:rsidRPr="00F54615" w:rsidRDefault="00AD7487" w:rsidP="00AD7487">
      <w:pPr>
        <w:pStyle w:val="ListParagraph"/>
        <w:numPr>
          <w:ilvl w:val="0"/>
          <w:numId w:val="15"/>
        </w:numPr>
        <w:jc w:val="both"/>
        <w:rPr>
          <w:rFonts w:ascii="Arial" w:hAnsi="Arial" w:cs="Arial"/>
          <w:sz w:val="28"/>
          <w:szCs w:val="28"/>
        </w:rPr>
      </w:pPr>
      <w:bookmarkStart w:id="0" w:name="_Hlk20311635"/>
      <w:r w:rsidRPr="00F54615">
        <w:rPr>
          <w:rFonts w:ascii="Arial" w:hAnsi="Arial" w:cs="Arial"/>
          <w:sz w:val="28"/>
          <w:szCs w:val="28"/>
        </w:rPr>
        <w:t xml:space="preserve"> </w:t>
      </w:r>
      <w:r w:rsidR="005F3C3B" w:rsidRPr="00F54615">
        <w:rPr>
          <w:rFonts w:ascii="Arial" w:hAnsi="Arial" w:cs="Arial"/>
          <w:sz w:val="28"/>
          <w:szCs w:val="28"/>
        </w:rPr>
        <w:t>Application Process</w:t>
      </w:r>
    </w:p>
    <w:bookmarkEnd w:id="0"/>
    <w:p w14:paraId="16688A7B" w14:textId="77777777" w:rsidR="005F3C3B" w:rsidRPr="005F3C3B" w:rsidRDefault="005F3C3B" w:rsidP="005F3C3B">
      <w:pPr>
        <w:pStyle w:val="ListParagraph"/>
        <w:ind w:left="470"/>
        <w:jc w:val="both"/>
        <w:rPr>
          <w:rFonts w:ascii="Arial" w:hAnsi="Arial" w:cs="Arial"/>
        </w:rPr>
      </w:pPr>
    </w:p>
    <w:p w14:paraId="25660489" w14:textId="21C2B329" w:rsidR="00E73E28" w:rsidRDefault="00240A4B" w:rsidP="005F3C3B">
      <w:pPr>
        <w:pStyle w:val="ListParagraph"/>
        <w:ind w:left="470"/>
        <w:jc w:val="both"/>
        <w:rPr>
          <w:rFonts w:ascii="Arial" w:hAnsi="Arial" w:cs="Arial"/>
        </w:rPr>
      </w:pPr>
      <w:r w:rsidRPr="00AD7487">
        <w:rPr>
          <w:rFonts w:ascii="Arial" w:hAnsi="Arial" w:cs="Arial"/>
        </w:rPr>
        <w:t xml:space="preserve">To access the system </w:t>
      </w:r>
      <w:r w:rsidR="00E73E28" w:rsidRPr="00AD7487">
        <w:rPr>
          <w:rFonts w:ascii="Arial" w:hAnsi="Arial" w:cs="Arial"/>
        </w:rPr>
        <w:t xml:space="preserve">potential </w:t>
      </w:r>
      <w:r w:rsidRPr="00AD7487">
        <w:rPr>
          <w:rFonts w:ascii="Arial" w:hAnsi="Arial" w:cs="Arial"/>
        </w:rPr>
        <w:t>users will need to register and submit a project request to the Discover Team</w:t>
      </w:r>
      <w:r w:rsidR="00E73E28" w:rsidRPr="00AD7487">
        <w:rPr>
          <w:rFonts w:ascii="Arial" w:hAnsi="Arial" w:cs="Arial"/>
        </w:rPr>
        <w:t xml:space="preserve"> through the following process: </w:t>
      </w:r>
    </w:p>
    <w:p w14:paraId="455FDF4C" w14:textId="77777777" w:rsidR="005F3C3B" w:rsidRPr="00AD7487" w:rsidRDefault="005F3C3B" w:rsidP="005F3C3B">
      <w:pPr>
        <w:pStyle w:val="ListParagraph"/>
        <w:ind w:left="470"/>
        <w:jc w:val="both"/>
        <w:rPr>
          <w:rFonts w:ascii="Arial" w:hAnsi="Arial" w:cs="Arial"/>
        </w:rPr>
      </w:pPr>
    </w:p>
    <w:p w14:paraId="52422485" w14:textId="77777777" w:rsidR="008646F9" w:rsidRDefault="00E73E28" w:rsidP="00E73E28">
      <w:pPr>
        <w:pStyle w:val="ListParagraph"/>
        <w:numPr>
          <w:ilvl w:val="0"/>
          <w:numId w:val="5"/>
        </w:numPr>
        <w:jc w:val="both"/>
        <w:rPr>
          <w:rFonts w:ascii="Arial" w:hAnsi="Arial" w:cs="Arial"/>
        </w:rPr>
      </w:pPr>
      <w:r w:rsidRPr="00D72126">
        <w:rPr>
          <w:rFonts w:ascii="Arial" w:hAnsi="Arial" w:cs="Arial"/>
        </w:rPr>
        <w:t xml:space="preserve">Download and Complete a Discover user registration form available online at </w:t>
      </w:r>
      <w:hyperlink r:id="rId12" w:history="1">
        <w:r w:rsidRPr="00D72126">
          <w:rPr>
            <w:rStyle w:val="Hyperlink"/>
            <w:rFonts w:ascii="Arial" w:hAnsi="Arial" w:cs="Arial"/>
          </w:rPr>
          <w:t>https://registerfordiscover.org.uk/researchers</w:t>
        </w:r>
      </w:hyperlink>
    </w:p>
    <w:p w14:paraId="55C8B23E" w14:textId="2E7396DE" w:rsidR="00E73E28" w:rsidRDefault="00E73E28" w:rsidP="008646F9">
      <w:pPr>
        <w:pStyle w:val="ListParagraph"/>
        <w:jc w:val="both"/>
        <w:rPr>
          <w:rFonts w:ascii="Arial" w:hAnsi="Arial" w:cs="Arial"/>
        </w:rPr>
      </w:pPr>
    </w:p>
    <w:p w14:paraId="734A6A6E" w14:textId="7AC75C43" w:rsidR="005F3C3B" w:rsidRDefault="008646F9" w:rsidP="008646F9">
      <w:pPr>
        <w:pStyle w:val="ListParagraph"/>
        <w:numPr>
          <w:ilvl w:val="0"/>
          <w:numId w:val="5"/>
        </w:numPr>
        <w:jc w:val="both"/>
        <w:rPr>
          <w:rFonts w:ascii="Arial" w:hAnsi="Arial" w:cs="Arial"/>
        </w:rPr>
      </w:pPr>
      <w:r w:rsidRPr="00D72126">
        <w:rPr>
          <w:rFonts w:ascii="Arial" w:hAnsi="Arial" w:cs="Arial"/>
        </w:rPr>
        <w:t>Download</w:t>
      </w:r>
      <w:r>
        <w:rPr>
          <w:rFonts w:ascii="Arial" w:hAnsi="Arial" w:cs="Arial"/>
        </w:rPr>
        <w:t xml:space="preserve"> </w:t>
      </w:r>
      <w:r w:rsidRPr="00D72126">
        <w:rPr>
          <w:rFonts w:ascii="Arial" w:hAnsi="Arial" w:cs="Arial"/>
        </w:rPr>
        <w:t>and complete the appropriate project application form</w:t>
      </w:r>
      <w:r>
        <w:rPr>
          <w:rFonts w:ascii="Arial" w:hAnsi="Arial" w:cs="Arial"/>
        </w:rPr>
        <w:t xml:space="preserve"> (e.g. feasibility, </w:t>
      </w:r>
      <w:proofErr w:type="spellStart"/>
      <w:r>
        <w:rPr>
          <w:rFonts w:ascii="Arial" w:hAnsi="Arial" w:cs="Arial"/>
        </w:rPr>
        <w:t>retrpsective</w:t>
      </w:r>
      <w:proofErr w:type="spellEnd"/>
      <w:r>
        <w:rPr>
          <w:rFonts w:ascii="Arial" w:hAnsi="Arial" w:cs="Arial"/>
        </w:rPr>
        <w:t>, recruitment) available online at</w:t>
      </w:r>
      <w:r w:rsidRPr="008646F9">
        <w:rPr>
          <w:rFonts w:ascii="Arial" w:hAnsi="Arial" w:cs="Arial"/>
        </w:rPr>
        <w:t xml:space="preserve"> </w:t>
      </w:r>
      <w:hyperlink r:id="rId13" w:history="1">
        <w:r w:rsidRPr="00D70985">
          <w:rPr>
            <w:rStyle w:val="Hyperlink"/>
            <w:rFonts w:ascii="Arial" w:hAnsi="Arial" w:cs="Arial"/>
          </w:rPr>
          <w:t>https://registerfordiscover.org.uk/researchers</w:t>
        </w:r>
      </w:hyperlink>
      <w:r>
        <w:rPr>
          <w:rFonts w:ascii="Arial" w:hAnsi="Arial" w:cs="Arial"/>
        </w:rPr>
        <w:t xml:space="preserve">. </w:t>
      </w:r>
      <w:r w:rsidRPr="00D72126">
        <w:rPr>
          <w:rFonts w:ascii="Arial" w:hAnsi="Arial" w:cs="Arial"/>
        </w:rPr>
        <w:t>The project type will determine the information required</w:t>
      </w:r>
      <w:r>
        <w:rPr>
          <w:rFonts w:ascii="Arial" w:hAnsi="Arial" w:cs="Arial"/>
        </w:rPr>
        <w:t xml:space="preserve"> </w:t>
      </w:r>
    </w:p>
    <w:p w14:paraId="1BBC8CD6" w14:textId="77777777" w:rsidR="005F3C3B" w:rsidRPr="008646F9" w:rsidRDefault="005F3C3B" w:rsidP="008646F9">
      <w:pPr>
        <w:pStyle w:val="ListParagraph"/>
        <w:jc w:val="both"/>
        <w:rPr>
          <w:rFonts w:ascii="Arial" w:hAnsi="Arial" w:cs="Arial"/>
        </w:rPr>
      </w:pPr>
    </w:p>
    <w:p w14:paraId="0FC933F8" w14:textId="264A03C3" w:rsidR="00E73E28" w:rsidRPr="008646F9" w:rsidRDefault="00E73E28" w:rsidP="008646F9">
      <w:pPr>
        <w:pStyle w:val="ListParagraph"/>
        <w:numPr>
          <w:ilvl w:val="0"/>
          <w:numId w:val="5"/>
        </w:numPr>
        <w:jc w:val="both"/>
        <w:rPr>
          <w:rFonts w:ascii="Arial" w:hAnsi="Arial" w:cs="Arial"/>
        </w:rPr>
      </w:pPr>
      <w:r w:rsidRPr="00D72126">
        <w:rPr>
          <w:rFonts w:ascii="Arial" w:hAnsi="Arial" w:cs="Arial"/>
        </w:rPr>
        <w:t>Once both forms are co</w:t>
      </w:r>
      <w:r w:rsidRPr="005F3C3B">
        <w:rPr>
          <w:rFonts w:ascii="Arial" w:hAnsi="Arial" w:cs="Arial"/>
        </w:rPr>
        <w:t>mpleted submit these to</w:t>
      </w:r>
      <w:hyperlink r:id="rId14" w:history="1">
        <w:r w:rsidR="00043526" w:rsidRPr="00D70985">
          <w:rPr>
            <w:rStyle w:val="Hyperlink"/>
            <w:rFonts w:ascii="Arial" w:hAnsi="Arial" w:cs="Arial"/>
          </w:rPr>
          <w:t>researchers@registerfordiscover.org.uk</w:t>
        </w:r>
      </w:hyperlink>
    </w:p>
    <w:p w14:paraId="1101F03B" w14:textId="77777777" w:rsidR="005F3C3B" w:rsidRDefault="005F3C3B" w:rsidP="005F3C3B">
      <w:pPr>
        <w:pStyle w:val="ListParagraph"/>
        <w:jc w:val="both"/>
        <w:rPr>
          <w:rFonts w:ascii="Arial" w:hAnsi="Arial" w:cs="Arial"/>
        </w:rPr>
      </w:pPr>
    </w:p>
    <w:p w14:paraId="34DB67F1" w14:textId="2B73B560" w:rsidR="00E73E28" w:rsidRPr="00D72126" w:rsidRDefault="00E73E28" w:rsidP="00E73E28">
      <w:pPr>
        <w:pStyle w:val="ListParagraph"/>
        <w:numPr>
          <w:ilvl w:val="0"/>
          <w:numId w:val="5"/>
        </w:numPr>
        <w:jc w:val="both"/>
        <w:rPr>
          <w:rFonts w:ascii="Arial" w:hAnsi="Arial" w:cs="Arial"/>
        </w:rPr>
      </w:pPr>
      <w:r w:rsidRPr="00D72126">
        <w:rPr>
          <w:rFonts w:ascii="Arial" w:hAnsi="Arial" w:cs="Arial"/>
        </w:rPr>
        <w:t xml:space="preserve">The Discover Team will review the application for completeness and communicate with the applicant </w:t>
      </w:r>
      <w:r w:rsidR="006D160D" w:rsidRPr="00D72126">
        <w:rPr>
          <w:rFonts w:ascii="Arial" w:hAnsi="Arial" w:cs="Arial"/>
        </w:rPr>
        <w:t xml:space="preserve">expected timelines, progress and outcomes. If information is missing, the applicant will be asked to provide before further review takes place. </w:t>
      </w:r>
    </w:p>
    <w:p w14:paraId="7DBB683C" w14:textId="77777777" w:rsidR="005F3C3B" w:rsidRDefault="005F3C3B" w:rsidP="005F3C3B">
      <w:pPr>
        <w:pStyle w:val="ListParagraph"/>
        <w:jc w:val="both"/>
        <w:rPr>
          <w:rFonts w:ascii="Arial" w:hAnsi="Arial" w:cs="Arial"/>
        </w:rPr>
      </w:pPr>
    </w:p>
    <w:p w14:paraId="2FA13262" w14:textId="77777777" w:rsidR="00FB6DE6" w:rsidRPr="001B6EC1" w:rsidRDefault="00FB6DE6" w:rsidP="00FB6DE6">
      <w:pPr>
        <w:pStyle w:val="ListParagraph"/>
        <w:numPr>
          <w:ilvl w:val="0"/>
          <w:numId w:val="5"/>
        </w:numPr>
        <w:jc w:val="both"/>
        <w:rPr>
          <w:rFonts w:ascii="Arial" w:hAnsi="Arial" w:cs="Arial"/>
        </w:rPr>
      </w:pPr>
      <w:r w:rsidRPr="001B6EC1">
        <w:rPr>
          <w:rFonts w:ascii="Arial" w:hAnsi="Arial" w:cs="Arial"/>
        </w:rPr>
        <w:t>The application will then be triaged for review based on the project type.</w:t>
      </w:r>
    </w:p>
    <w:p w14:paraId="561695D8" w14:textId="77777777" w:rsidR="00FB6DE6" w:rsidRPr="00A5742C" w:rsidRDefault="00FB6DE6" w:rsidP="00FB6DE6">
      <w:pPr>
        <w:pStyle w:val="ListParagraph"/>
        <w:numPr>
          <w:ilvl w:val="0"/>
          <w:numId w:val="8"/>
        </w:numPr>
        <w:jc w:val="both"/>
        <w:rPr>
          <w:rFonts w:ascii="Arial" w:hAnsi="Arial" w:cs="Arial"/>
        </w:rPr>
      </w:pPr>
      <w:r w:rsidRPr="001B6EC1">
        <w:rPr>
          <w:rFonts w:ascii="Arial" w:hAnsi="Arial" w:cs="Arial"/>
        </w:rPr>
        <w:t xml:space="preserve">Feasibility questions: The application will be reviewed by the Discover Team for completeness and to ensure it falls within the Discover Principles Charter. </w:t>
      </w:r>
      <w:r w:rsidRPr="00A5742C">
        <w:rPr>
          <w:rFonts w:ascii="Arial" w:hAnsi="Arial" w:cs="Arial"/>
        </w:rPr>
        <w:t xml:space="preserve">Decisions on applications are expected to take 5 working days. </w:t>
      </w:r>
    </w:p>
    <w:p w14:paraId="3CE11F73" w14:textId="31CCA2C7" w:rsidR="00FB6DE6" w:rsidRPr="00DE5CE5" w:rsidRDefault="00745F77" w:rsidP="00FB6DE6">
      <w:pPr>
        <w:pStyle w:val="ListParagraph"/>
        <w:numPr>
          <w:ilvl w:val="0"/>
          <w:numId w:val="8"/>
        </w:numPr>
        <w:jc w:val="both"/>
        <w:rPr>
          <w:rFonts w:ascii="Arial" w:hAnsi="Arial" w:cs="Arial"/>
        </w:rPr>
      </w:pPr>
      <w:r w:rsidRPr="00DE5CE5">
        <w:rPr>
          <w:rFonts w:ascii="Arial" w:hAnsi="Arial" w:cs="Arial"/>
        </w:rPr>
        <w:t>Cohort recruitment and Retrospective Studies</w:t>
      </w:r>
      <w:r w:rsidR="001B6EC1" w:rsidRPr="00DE5CE5">
        <w:rPr>
          <w:rFonts w:ascii="Arial" w:hAnsi="Arial" w:cs="Arial"/>
        </w:rPr>
        <w:t xml:space="preserve"> </w:t>
      </w:r>
      <w:r w:rsidR="00EE2057" w:rsidRPr="00DE5CE5">
        <w:rPr>
          <w:rFonts w:ascii="Arial" w:hAnsi="Arial" w:cs="Arial"/>
        </w:rPr>
        <w:t>will be sent to the NWL Research Access Committee</w:t>
      </w:r>
      <w:r w:rsidR="00FB6DE6" w:rsidRPr="00DE5CE5">
        <w:rPr>
          <w:rFonts w:ascii="Arial" w:hAnsi="Arial" w:cs="Arial"/>
        </w:rPr>
        <w:t>, which meets the third Thursday of the month, for review and a decision. We would expect the clinical</w:t>
      </w:r>
      <w:r w:rsidR="00EE2057" w:rsidRPr="00DE5CE5">
        <w:rPr>
          <w:rFonts w:ascii="Arial" w:hAnsi="Arial" w:cs="Arial"/>
        </w:rPr>
        <w:t xml:space="preserve"> investigator to attend the NWL Research Access Committee</w:t>
      </w:r>
      <w:r w:rsidR="00FB6DE6" w:rsidRPr="00DE5CE5">
        <w:rPr>
          <w:rFonts w:ascii="Arial" w:hAnsi="Arial" w:cs="Arial"/>
        </w:rPr>
        <w:t xml:space="preserve"> meeting to enable the committee to discuss the application further.</w:t>
      </w:r>
    </w:p>
    <w:p w14:paraId="0B6EC197" w14:textId="77777777" w:rsidR="00FB6DE6" w:rsidRPr="00DE5CE5" w:rsidRDefault="00FB6DE6" w:rsidP="00FB6DE6">
      <w:pPr>
        <w:pStyle w:val="ListParagraph"/>
        <w:ind w:left="1080"/>
        <w:rPr>
          <w:rFonts w:ascii="Arial" w:hAnsi="Arial" w:cs="Arial"/>
        </w:rPr>
      </w:pPr>
    </w:p>
    <w:p w14:paraId="55D5FED0" w14:textId="1E40E95C" w:rsidR="00FB6DE6" w:rsidRPr="00A5742C" w:rsidRDefault="00EE2057" w:rsidP="00FB6DE6">
      <w:pPr>
        <w:pStyle w:val="ListParagraph"/>
        <w:numPr>
          <w:ilvl w:val="0"/>
          <w:numId w:val="5"/>
        </w:numPr>
        <w:jc w:val="both"/>
        <w:rPr>
          <w:rFonts w:ascii="Arial" w:hAnsi="Arial" w:cs="Arial"/>
        </w:rPr>
      </w:pPr>
      <w:r w:rsidRPr="00DE5CE5">
        <w:rPr>
          <w:rFonts w:ascii="Arial" w:hAnsi="Arial" w:cs="Arial"/>
        </w:rPr>
        <w:t>Decisions on applications shall be taken by consensus.</w:t>
      </w:r>
      <w:r w:rsidR="00FB6DE6" w:rsidRPr="00DE5CE5">
        <w:rPr>
          <w:rFonts w:ascii="Arial" w:hAnsi="Arial" w:cs="Arial"/>
        </w:rPr>
        <w:t xml:space="preserve"> </w:t>
      </w:r>
      <w:r w:rsidRPr="00DE5CE5">
        <w:rPr>
          <w:rFonts w:ascii="Arial" w:hAnsi="Arial" w:cs="Arial"/>
        </w:rPr>
        <w:t>If the NWL Research Access Committee</w:t>
      </w:r>
      <w:r w:rsidR="00FB6DE6" w:rsidRPr="00A5742C">
        <w:rPr>
          <w:rFonts w:ascii="Arial" w:hAnsi="Arial" w:cs="Arial"/>
        </w:rPr>
        <w:t xml:space="preserve"> denies the application feedback will be provided to the applicant along with information to re-apply or appeal the decision</w:t>
      </w:r>
      <w:r w:rsidR="00F9330A">
        <w:rPr>
          <w:rFonts w:ascii="Arial" w:hAnsi="Arial" w:cs="Arial"/>
        </w:rPr>
        <w:t>.</w:t>
      </w:r>
    </w:p>
    <w:p w14:paraId="48E83BB7" w14:textId="5E2483A3" w:rsidR="001B6EC1" w:rsidRDefault="001B6EC1" w:rsidP="001B6EC1">
      <w:pPr>
        <w:jc w:val="both"/>
        <w:rPr>
          <w:rFonts w:ascii="Arial" w:hAnsi="Arial" w:cs="Arial"/>
        </w:rPr>
      </w:pPr>
    </w:p>
    <w:p w14:paraId="39DAF821" w14:textId="206DE3C1" w:rsidR="001B6EC1" w:rsidRDefault="001B6EC1" w:rsidP="001B6EC1">
      <w:pPr>
        <w:jc w:val="both"/>
        <w:rPr>
          <w:rFonts w:ascii="Arial" w:hAnsi="Arial" w:cs="Arial"/>
        </w:rPr>
      </w:pPr>
    </w:p>
    <w:p w14:paraId="32C72DD1" w14:textId="1E358870" w:rsidR="001B6EC1" w:rsidRDefault="001B6EC1" w:rsidP="001B6EC1">
      <w:pPr>
        <w:jc w:val="both"/>
        <w:rPr>
          <w:rFonts w:ascii="Arial" w:hAnsi="Arial" w:cs="Arial"/>
        </w:rPr>
      </w:pPr>
    </w:p>
    <w:p w14:paraId="06BFFE8B" w14:textId="0E94C369" w:rsidR="001B6EC1" w:rsidRDefault="001B6EC1" w:rsidP="001B6EC1">
      <w:pPr>
        <w:jc w:val="both"/>
        <w:rPr>
          <w:rFonts w:ascii="Arial" w:hAnsi="Arial" w:cs="Arial"/>
        </w:rPr>
      </w:pPr>
    </w:p>
    <w:p w14:paraId="7C194D5C" w14:textId="77777777" w:rsidR="001B6EC1" w:rsidRPr="001B6EC1" w:rsidRDefault="001B6EC1" w:rsidP="001B6EC1">
      <w:pPr>
        <w:jc w:val="both"/>
        <w:rPr>
          <w:rFonts w:ascii="Arial" w:hAnsi="Arial" w:cs="Arial"/>
        </w:rPr>
      </w:pPr>
    </w:p>
    <w:p w14:paraId="0D9D54EC" w14:textId="77777777" w:rsidR="00FB6DE6" w:rsidRPr="00FB6DE6" w:rsidRDefault="00FB6DE6" w:rsidP="00FB6DE6">
      <w:pPr>
        <w:pStyle w:val="ListParagraph"/>
        <w:rPr>
          <w:rFonts w:ascii="Arial" w:hAnsi="Arial" w:cs="Arial"/>
        </w:rPr>
      </w:pPr>
    </w:p>
    <w:p w14:paraId="11890AF6" w14:textId="5FBD2FE9" w:rsidR="00DB6558" w:rsidRDefault="00DB6558" w:rsidP="005F3C3B">
      <w:pPr>
        <w:pStyle w:val="ListParagraph"/>
        <w:numPr>
          <w:ilvl w:val="0"/>
          <w:numId w:val="16"/>
        </w:numPr>
        <w:jc w:val="both"/>
        <w:rPr>
          <w:rFonts w:ascii="Arial" w:hAnsi="Arial" w:cs="Arial"/>
        </w:rPr>
      </w:pPr>
      <w:r w:rsidRPr="005F3C3B">
        <w:rPr>
          <w:rFonts w:ascii="Arial" w:hAnsi="Arial" w:cs="Arial"/>
        </w:rPr>
        <w:t xml:space="preserve">If the </w:t>
      </w:r>
      <w:r w:rsidR="001F4AFA">
        <w:rPr>
          <w:rFonts w:ascii="Arial" w:hAnsi="Arial" w:cs="Arial"/>
        </w:rPr>
        <w:t>NWL Research Access Committee</w:t>
      </w:r>
      <w:r w:rsidRPr="005F3C3B">
        <w:rPr>
          <w:rFonts w:ascii="Arial" w:hAnsi="Arial" w:cs="Arial"/>
        </w:rPr>
        <w:t xml:space="preserve"> approves the study the following will happen:</w:t>
      </w:r>
    </w:p>
    <w:p w14:paraId="0C2014CF" w14:textId="77777777" w:rsidR="00FB6DE6" w:rsidRPr="005F3C3B" w:rsidRDefault="00FB6DE6" w:rsidP="00FB6DE6">
      <w:pPr>
        <w:pStyle w:val="ListParagraph"/>
        <w:jc w:val="both"/>
        <w:rPr>
          <w:rFonts w:ascii="Arial" w:hAnsi="Arial" w:cs="Arial"/>
        </w:rPr>
      </w:pPr>
    </w:p>
    <w:p w14:paraId="51764174" w14:textId="77777777" w:rsidR="00DB6558" w:rsidRPr="00D72126" w:rsidRDefault="00DB6558" w:rsidP="00DB6558">
      <w:pPr>
        <w:pStyle w:val="ListParagraph"/>
        <w:numPr>
          <w:ilvl w:val="0"/>
          <w:numId w:val="13"/>
        </w:numPr>
        <w:jc w:val="both"/>
        <w:rPr>
          <w:rFonts w:ascii="Arial" w:hAnsi="Arial" w:cs="Arial"/>
        </w:rPr>
      </w:pPr>
      <w:r w:rsidRPr="00D72126">
        <w:rPr>
          <w:rFonts w:ascii="Arial" w:hAnsi="Arial" w:cs="Arial"/>
        </w:rPr>
        <w:t xml:space="preserve">If direct access is required, the </w:t>
      </w:r>
      <w:r w:rsidR="006D160D" w:rsidRPr="00D72126">
        <w:rPr>
          <w:rFonts w:ascii="Arial" w:hAnsi="Arial" w:cs="Arial"/>
        </w:rPr>
        <w:t xml:space="preserve">Data Access Agreement </w:t>
      </w:r>
      <w:r w:rsidRPr="00D72126">
        <w:rPr>
          <w:rFonts w:ascii="Arial" w:hAnsi="Arial" w:cs="Arial"/>
        </w:rPr>
        <w:t xml:space="preserve">will need to be signed and then the researcher will be given access to the dataset to complete their project.  </w:t>
      </w:r>
    </w:p>
    <w:p w14:paraId="40B9E0EC" w14:textId="77777777" w:rsidR="00E73E28" w:rsidRPr="00D72126" w:rsidRDefault="00DB6558" w:rsidP="00DB6558">
      <w:pPr>
        <w:pStyle w:val="ListParagraph"/>
        <w:numPr>
          <w:ilvl w:val="0"/>
          <w:numId w:val="13"/>
        </w:numPr>
        <w:jc w:val="both"/>
        <w:rPr>
          <w:rFonts w:ascii="Arial" w:hAnsi="Arial" w:cs="Arial"/>
        </w:rPr>
      </w:pPr>
      <w:r w:rsidRPr="00D72126">
        <w:rPr>
          <w:rFonts w:ascii="Arial" w:hAnsi="Arial" w:cs="Arial"/>
        </w:rPr>
        <w:t xml:space="preserve">If analysis support is required, this will be discussed and agreed (along with any fees) in a Service Agreement. Following signature, the project will be carried out and the results provided to the applicant. </w:t>
      </w:r>
    </w:p>
    <w:p w14:paraId="43CCC5FF" w14:textId="77777777" w:rsidR="00DB6558" w:rsidRDefault="00DB6558" w:rsidP="00240A4B">
      <w:pPr>
        <w:pStyle w:val="Caption"/>
        <w:keepNext/>
        <w:sectPr w:rsidR="00DB6558" w:rsidSect="00323059">
          <w:headerReference w:type="default" r:id="rId15"/>
          <w:footerReference w:type="default" r:id="rId16"/>
          <w:pgSz w:w="11906" w:h="16838"/>
          <w:pgMar w:top="1134" w:right="1440" w:bottom="1135" w:left="1440" w:header="708" w:footer="133" w:gutter="0"/>
          <w:cols w:space="708"/>
          <w:docGrid w:linePitch="360"/>
        </w:sectPr>
      </w:pPr>
    </w:p>
    <w:p w14:paraId="2993DAB8" w14:textId="65055866" w:rsidR="005B4EDB" w:rsidRDefault="00240A4B" w:rsidP="00DB6558">
      <w:pPr>
        <w:pStyle w:val="Caption"/>
        <w:keepNext/>
      </w:pPr>
      <w:r>
        <w:lastRenderedPageBreak/>
        <w:t xml:space="preserve">Figure </w:t>
      </w:r>
      <w:r w:rsidR="006D160D">
        <w:t>1</w:t>
      </w:r>
      <w:r>
        <w:t xml:space="preserve">. </w:t>
      </w:r>
      <w:r w:rsidR="00A5742C">
        <w:t xml:space="preserve">Research </w:t>
      </w:r>
      <w:r>
        <w:t>Process</w:t>
      </w:r>
      <w:r w:rsidR="00597967">
        <w:t xml:space="preserve"> </w:t>
      </w:r>
    </w:p>
    <w:p w14:paraId="74B3DD75" w14:textId="22E82B9B" w:rsidR="00DB6558" w:rsidRDefault="00A01511" w:rsidP="00DB6558">
      <w:r w:rsidRPr="004232E0">
        <w:rPr>
          <w:noProof/>
          <w:lang w:eastAsia="en-GB"/>
        </w:rPr>
        <w:drawing>
          <wp:inline distT="0" distB="0" distL="0" distR="0" wp14:anchorId="3FDD8C09" wp14:editId="31520DFC">
            <wp:extent cx="8943975" cy="501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945232" cy="5010854"/>
                    </a:xfrm>
                    <a:prstGeom prst="rect">
                      <a:avLst/>
                    </a:prstGeom>
                  </pic:spPr>
                </pic:pic>
              </a:graphicData>
            </a:graphic>
          </wp:inline>
        </w:drawing>
      </w:r>
      <w:bookmarkStart w:id="1" w:name="_GoBack"/>
      <w:bookmarkEnd w:id="1"/>
    </w:p>
    <w:p w14:paraId="4C55ECEA" w14:textId="391D10C0" w:rsidR="004232E0" w:rsidRDefault="004232E0" w:rsidP="00DB6558"/>
    <w:p w14:paraId="2B185F1B" w14:textId="36B7FAFB" w:rsidR="004232E0" w:rsidRDefault="004232E0" w:rsidP="00DB6558"/>
    <w:p w14:paraId="23B89C71" w14:textId="020ED598" w:rsidR="004232E0" w:rsidRDefault="004232E0" w:rsidP="00DB6558"/>
    <w:p w14:paraId="0E24D867" w14:textId="35A1CD81" w:rsidR="004232E0" w:rsidRDefault="004232E0" w:rsidP="00DB6558"/>
    <w:p w14:paraId="1B55AFCC" w14:textId="3CC35D67" w:rsidR="004232E0" w:rsidRPr="00DB6558" w:rsidRDefault="004232E0" w:rsidP="00DB6558">
      <w:pPr>
        <w:sectPr w:rsidR="004232E0" w:rsidRPr="00DB6558" w:rsidSect="00DB6558">
          <w:pgSz w:w="16838" w:h="11906" w:orient="landscape"/>
          <w:pgMar w:top="1440" w:right="1134" w:bottom="1440" w:left="1134" w:header="708" w:footer="133" w:gutter="0"/>
          <w:cols w:space="708"/>
          <w:docGrid w:linePitch="360"/>
        </w:sectPr>
      </w:pPr>
      <w:r w:rsidRPr="004232E0">
        <w:rPr>
          <w:noProof/>
          <w:lang w:eastAsia="en-GB"/>
        </w:rPr>
        <w:drawing>
          <wp:inline distT="0" distB="0" distL="0" distR="0" wp14:anchorId="2DE31C26" wp14:editId="443BB220">
            <wp:extent cx="8648700" cy="382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649915" cy="3829588"/>
                    </a:xfrm>
                    <a:prstGeom prst="rect">
                      <a:avLst/>
                    </a:prstGeom>
                  </pic:spPr>
                </pic:pic>
              </a:graphicData>
            </a:graphic>
          </wp:inline>
        </w:drawing>
      </w:r>
    </w:p>
    <w:p w14:paraId="2D8FEA28" w14:textId="5224B999" w:rsidR="00537498" w:rsidRDefault="00537498" w:rsidP="00537498">
      <w:pPr>
        <w:pStyle w:val="Heading2"/>
        <w:ind w:left="360"/>
        <w:rPr>
          <w:rFonts w:ascii="Arial" w:eastAsia="Times New Roman" w:hAnsi="Arial" w:cs="Arial"/>
          <w:sz w:val="22"/>
          <w:szCs w:val="22"/>
          <w:lang w:eastAsia="en-GB"/>
        </w:rPr>
      </w:pPr>
      <w:bookmarkStart w:id="2" w:name="_Toc488939636"/>
    </w:p>
    <w:p w14:paraId="65F11119" w14:textId="39BA1ED8" w:rsidR="00537498" w:rsidRDefault="00537498" w:rsidP="00537498">
      <w:pPr>
        <w:rPr>
          <w:lang w:eastAsia="en-GB"/>
        </w:rPr>
      </w:pPr>
    </w:p>
    <w:p w14:paraId="3343B921" w14:textId="11F8EFD5" w:rsidR="00240A4B" w:rsidRPr="00035096" w:rsidRDefault="008330DC" w:rsidP="00035096">
      <w:pPr>
        <w:pStyle w:val="ListParagraph"/>
        <w:numPr>
          <w:ilvl w:val="0"/>
          <w:numId w:val="15"/>
        </w:numPr>
        <w:jc w:val="both"/>
        <w:rPr>
          <w:rFonts w:ascii="Arial" w:hAnsi="Arial" w:cs="Arial"/>
          <w:sz w:val="28"/>
          <w:szCs w:val="28"/>
        </w:rPr>
      </w:pPr>
      <w:r w:rsidRPr="008330DC">
        <w:rPr>
          <w:rFonts w:ascii="Arial" w:hAnsi="Arial" w:cs="Arial"/>
          <w:sz w:val="28"/>
          <w:szCs w:val="28"/>
        </w:rPr>
        <w:t>NWL Research Access Committee</w:t>
      </w:r>
    </w:p>
    <w:p w14:paraId="482208EB" w14:textId="7BA8F7E3" w:rsidR="002E34B7" w:rsidRPr="00D72126" w:rsidRDefault="00240A4B" w:rsidP="00221FA1">
      <w:pPr>
        <w:spacing w:after="240" w:line="240" w:lineRule="auto"/>
        <w:jc w:val="both"/>
        <w:rPr>
          <w:rFonts w:ascii="Arial" w:eastAsia="Times New Roman" w:hAnsi="Arial" w:cs="Arial"/>
          <w:lang w:eastAsia="en-GB"/>
        </w:rPr>
      </w:pPr>
      <w:r w:rsidRPr="00D72126">
        <w:rPr>
          <w:rFonts w:ascii="Arial" w:eastAsia="Times New Roman" w:hAnsi="Arial" w:cs="Arial"/>
          <w:lang w:eastAsia="en-GB"/>
        </w:rPr>
        <w:t xml:space="preserve">The </w:t>
      </w:r>
      <w:bookmarkStart w:id="3" w:name="_Hlk38020702"/>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w:t>
      </w:r>
      <w:bookmarkEnd w:id="3"/>
      <w:r w:rsidRPr="00D72126">
        <w:rPr>
          <w:rFonts w:ascii="Arial" w:eastAsia="Times New Roman" w:hAnsi="Arial" w:cs="Arial"/>
          <w:lang w:eastAsia="en-GB"/>
        </w:rPr>
        <w:t xml:space="preserve">is a nominated body that provides a governance mechanism for evaluating project applications (see example form in </w:t>
      </w:r>
      <w:hyperlink w:anchor="_Appendix_1:_Application" w:history="1">
        <w:r w:rsidRPr="00D72126">
          <w:rPr>
            <w:rStyle w:val="Hyperlink"/>
            <w:rFonts w:ascii="Arial" w:eastAsia="Times New Roman" w:hAnsi="Arial" w:cs="Arial"/>
            <w:lang w:eastAsia="en-GB"/>
          </w:rPr>
          <w:t>Appendix 1</w:t>
        </w:r>
      </w:hyperlink>
      <w:r w:rsidRPr="00D72126">
        <w:rPr>
          <w:rFonts w:ascii="Arial" w:eastAsia="Times New Roman" w:hAnsi="Arial" w:cs="Arial"/>
          <w:lang w:eastAsia="en-GB"/>
        </w:rPr>
        <w:t xml:space="preserve">) requesting data from the Discover Platform. </w:t>
      </w:r>
      <w:r w:rsidR="00B820BD" w:rsidRPr="00D72126">
        <w:rPr>
          <w:rFonts w:ascii="Arial" w:eastAsia="Times New Roman" w:hAnsi="Arial" w:cs="Arial"/>
          <w:lang w:eastAsia="en-GB"/>
        </w:rPr>
        <w:t>A</w:t>
      </w:r>
      <w:r w:rsidRPr="00D72126">
        <w:rPr>
          <w:rFonts w:ascii="Arial" w:eastAsia="Times New Roman" w:hAnsi="Arial" w:cs="Arial"/>
          <w:lang w:eastAsia="en-GB"/>
        </w:rPr>
        <w:t>ccess to D</w:t>
      </w:r>
      <w:r w:rsidR="00AE4902" w:rsidRPr="00D72126">
        <w:rPr>
          <w:rFonts w:ascii="Arial" w:eastAsia="Times New Roman" w:hAnsi="Arial" w:cs="Arial"/>
          <w:lang w:eastAsia="en-GB"/>
        </w:rPr>
        <w:t>iscover platform</w:t>
      </w:r>
      <w:r w:rsidRPr="00D72126">
        <w:rPr>
          <w:rFonts w:ascii="Arial" w:eastAsia="Times New Roman" w:hAnsi="Arial" w:cs="Arial"/>
          <w:lang w:eastAsia="en-GB"/>
        </w:rPr>
        <w:t xml:space="preserve"> will be decided by the </w:t>
      </w:r>
      <w:r w:rsidR="001F4AFA">
        <w:rPr>
          <w:rFonts w:ascii="Arial" w:eastAsia="Times New Roman" w:hAnsi="Arial" w:cs="Arial"/>
          <w:lang w:eastAsia="en-GB"/>
        </w:rPr>
        <w:t>NWL Research Access Committee</w:t>
      </w:r>
      <w:r w:rsidR="00B820BD" w:rsidRPr="00D72126">
        <w:rPr>
          <w:rFonts w:ascii="Arial" w:eastAsia="Times New Roman" w:hAnsi="Arial" w:cs="Arial"/>
          <w:lang w:eastAsia="en-GB"/>
        </w:rPr>
        <w:t xml:space="preserve"> except for access to feasibility and anonymised reports.</w:t>
      </w:r>
    </w:p>
    <w:p w14:paraId="5CBD08B8" w14:textId="350000F2" w:rsidR="002E34B7" w:rsidRPr="00D72126" w:rsidRDefault="00240A4B" w:rsidP="00221FA1">
      <w:pPr>
        <w:spacing w:after="240" w:line="240" w:lineRule="auto"/>
        <w:jc w:val="both"/>
        <w:rPr>
          <w:rFonts w:ascii="Arial" w:eastAsia="Times New Roman" w:hAnsi="Arial" w:cs="Arial"/>
          <w:lang w:eastAsia="en-GB"/>
        </w:rPr>
      </w:pPr>
      <w:r w:rsidRPr="00D72126">
        <w:rPr>
          <w:rFonts w:ascii="Arial" w:eastAsia="Times New Roman" w:hAnsi="Arial" w:cs="Arial"/>
          <w:lang w:eastAsia="en-GB"/>
        </w:rPr>
        <w:t xml:space="preserve">The </w:t>
      </w:r>
      <w:r w:rsidR="001F4AFA">
        <w:rPr>
          <w:rFonts w:ascii="Arial" w:eastAsia="Times New Roman" w:hAnsi="Arial" w:cs="Arial"/>
          <w:lang w:eastAsia="en-GB"/>
        </w:rPr>
        <w:t>NWL Research Access Committee</w:t>
      </w:r>
      <w:r w:rsidRPr="00D72126">
        <w:rPr>
          <w:rFonts w:ascii="Arial" w:eastAsia="Times New Roman" w:hAnsi="Arial" w:cs="Arial"/>
          <w:lang w:eastAsia="en-GB"/>
        </w:rPr>
        <w:t xml:space="preserve"> has responsibility for evaluating whether completed applications to access </w:t>
      </w:r>
      <w:r w:rsidR="002E34B7" w:rsidRPr="00D72126">
        <w:rPr>
          <w:rFonts w:ascii="Arial" w:eastAsia="Times New Roman" w:hAnsi="Arial" w:cs="Arial"/>
          <w:lang w:eastAsia="en-GB"/>
        </w:rPr>
        <w:t>Discover</w:t>
      </w:r>
      <w:r w:rsidRPr="00D72126">
        <w:rPr>
          <w:rFonts w:ascii="Arial" w:eastAsia="Times New Roman" w:hAnsi="Arial" w:cs="Arial"/>
          <w:lang w:eastAsia="en-GB"/>
        </w:rPr>
        <w:t xml:space="preserve"> are consistent with the Discover Principles Charter and the criteria laid out in this document, and that the requests do not pose undue risk to the individuals, communities or organisations to which they relate; this includes evaluation of risk </w:t>
      </w:r>
      <w:r w:rsidR="00B36C46" w:rsidRPr="00D72126">
        <w:rPr>
          <w:rFonts w:ascii="Arial" w:eastAsia="Times New Roman" w:hAnsi="Arial" w:cs="Arial"/>
          <w:lang w:eastAsia="en-GB"/>
        </w:rPr>
        <w:t>to</w:t>
      </w:r>
      <w:r w:rsidRPr="00D72126">
        <w:rPr>
          <w:rFonts w:ascii="Arial" w:eastAsia="Times New Roman" w:hAnsi="Arial" w:cs="Arial"/>
          <w:lang w:eastAsia="en-GB"/>
        </w:rPr>
        <w:t xml:space="preserve"> loss of privacy and assurance that appropriate protections of confidentiality and ethics review are in place. </w:t>
      </w:r>
    </w:p>
    <w:p w14:paraId="5B046384" w14:textId="5A8DB1BD" w:rsidR="00240A4B" w:rsidRPr="00D72126" w:rsidRDefault="00240A4B" w:rsidP="00221FA1">
      <w:pPr>
        <w:spacing w:after="240" w:line="240" w:lineRule="auto"/>
        <w:jc w:val="both"/>
        <w:rPr>
          <w:rFonts w:ascii="Arial" w:eastAsia="Times New Roman" w:hAnsi="Arial" w:cs="Arial"/>
          <w:lang w:eastAsia="en-GB"/>
        </w:rPr>
      </w:pPr>
      <w:r w:rsidRPr="00D72126">
        <w:rPr>
          <w:rFonts w:ascii="Arial" w:eastAsia="Times New Roman" w:hAnsi="Arial" w:cs="Arial"/>
          <w:lang w:eastAsia="en-GB"/>
        </w:rPr>
        <w:t xml:space="preserve">The </w:t>
      </w:r>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Terms of Reference (see </w:t>
      </w:r>
      <w:hyperlink w:anchor="_Appendix_2:_DRAG" w:history="1">
        <w:r w:rsidRPr="00D72126">
          <w:rPr>
            <w:rStyle w:val="Hyperlink"/>
            <w:rFonts w:ascii="Arial" w:eastAsia="Times New Roman" w:hAnsi="Arial" w:cs="Arial"/>
            <w:lang w:eastAsia="en-GB"/>
          </w:rPr>
          <w:t>Appendix 2</w:t>
        </w:r>
      </w:hyperlink>
      <w:r w:rsidRPr="00D72126">
        <w:rPr>
          <w:rFonts w:ascii="Arial" w:eastAsia="Times New Roman" w:hAnsi="Arial" w:cs="Arial"/>
          <w:lang w:eastAsia="en-GB"/>
        </w:rPr>
        <w:t xml:space="preserve">) provides detailed information on the </w:t>
      </w:r>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role, membership, duties and decision-making processes.</w:t>
      </w:r>
    </w:p>
    <w:p w14:paraId="526AB5A4" w14:textId="40D3532D" w:rsidR="006D160D" w:rsidRPr="00F54615" w:rsidRDefault="008C7E1C" w:rsidP="00537588">
      <w:pPr>
        <w:pStyle w:val="ListParagraph"/>
        <w:numPr>
          <w:ilvl w:val="0"/>
          <w:numId w:val="15"/>
        </w:numPr>
        <w:jc w:val="both"/>
        <w:rPr>
          <w:rFonts w:ascii="Arial" w:hAnsi="Arial" w:cs="Arial"/>
          <w:sz w:val="28"/>
          <w:szCs w:val="28"/>
        </w:rPr>
      </w:pPr>
      <w:bookmarkStart w:id="4" w:name="_Hlk20311735"/>
      <w:bookmarkEnd w:id="2"/>
      <w:r w:rsidRPr="00F54615">
        <w:rPr>
          <w:rFonts w:ascii="Arial" w:hAnsi="Arial" w:cs="Arial"/>
          <w:sz w:val="28"/>
          <w:szCs w:val="28"/>
        </w:rPr>
        <w:t>Eligibility</w:t>
      </w:r>
    </w:p>
    <w:bookmarkEnd w:id="4"/>
    <w:p w14:paraId="24244F31" w14:textId="77777777" w:rsidR="001B6EC1" w:rsidRPr="00F54615" w:rsidRDefault="00537588" w:rsidP="001B6EC1">
      <w:pPr>
        <w:jc w:val="both"/>
        <w:rPr>
          <w:rFonts w:ascii="Arial" w:hAnsi="Arial" w:cs="Arial"/>
          <w:sz w:val="28"/>
          <w:szCs w:val="28"/>
        </w:rPr>
      </w:pPr>
      <w:r w:rsidRPr="00F54615">
        <w:rPr>
          <w:rFonts w:ascii="Arial" w:eastAsia="Times New Roman" w:hAnsi="Arial" w:cs="Arial"/>
          <w:lang w:eastAsia="en-GB"/>
        </w:rPr>
        <w:t>3</w:t>
      </w:r>
      <w:r w:rsidR="00221FA1" w:rsidRPr="00F54615">
        <w:rPr>
          <w:rFonts w:ascii="Arial" w:eastAsia="Times New Roman" w:hAnsi="Arial" w:cs="Arial"/>
          <w:lang w:eastAsia="en-GB"/>
        </w:rPr>
        <w:t xml:space="preserve">.1 </w:t>
      </w:r>
      <w:bookmarkStart w:id="5" w:name="_Hlk20311921"/>
      <w:r w:rsidR="008C7E1C" w:rsidRPr="00F54615">
        <w:rPr>
          <w:rFonts w:ascii="Arial" w:hAnsi="Arial" w:cs="Arial"/>
          <w:sz w:val="24"/>
          <w:szCs w:val="24"/>
        </w:rPr>
        <w:t>Eligibility of the requester</w:t>
      </w:r>
      <w:bookmarkEnd w:id="5"/>
    </w:p>
    <w:p w14:paraId="4A3FD851" w14:textId="146076D7" w:rsidR="009C29BA" w:rsidRPr="009C29BA" w:rsidRDefault="002E34B7" w:rsidP="001B6EC1">
      <w:pPr>
        <w:jc w:val="both"/>
        <w:rPr>
          <w:rFonts w:ascii="Arial" w:eastAsia="Times New Roman" w:hAnsi="Arial" w:cs="Arial"/>
          <w:lang w:eastAsia="en-GB"/>
        </w:rPr>
      </w:pPr>
      <w:r w:rsidRPr="00D72126">
        <w:rPr>
          <w:rFonts w:ascii="Arial" w:hAnsi="Arial" w:cs="Arial"/>
        </w:rPr>
        <w:t xml:space="preserve">Discover </w:t>
      </w:r>
      <w:r w:rsidR="00240A4B" w:rsidRPr="00D72126">
        <w:rPr>
          <w:rFonts w:ascii="Arial" w:hAnsi="Arial" w:cs="Arial"/>
        </w:rPr>
        <w:t xml:space="preserve">is accessible to researchers </w:t>
      </w:r>
      <w:r w:rsidR="002E78A9" w:rsidRPr="00D72126">
        <w:rPr>
          <w:rFonts w:ascii="Arial" w:hAnsi="Arial" w:cs="Arial"/>
        </w:rPr>
        <w:t xml:space="preserve">(the ‘requestor’) </w:t>
      </w:r>
      <w:r w:rsidR="00240A4B" w:rsidRPr="00D72126">
        <w:rPr>
          <w:rFonts w:ascii="Arial" w:hAnsi="Arial" w:cs="Arial"/>
        </w:rPr>
        <w:t xml:space="preserve">with a remit including health, research or academic pursuit, and with legal status which includes scope to sign the Data Access Agreement. The Data Requestor will attest that sufficient funding and resources to perform the proposed research have been secured for this purpose. The </w:t>
      </w:r>
      <w:r w:rsidR="00DB0A2E">
        <w:rPr>
          <w:rFonts w:ascii="Arial" w:hAnsi="Arial" w:cs="Arial"/>
        </w:rPr>
        <w:t>NWL Research Access Committee</w:t>
      </w:r>
      <w:r w:rsidR="00240A4B" w:rsidRPr="00D72126">
        <w:rPr>
          <w:rFonts w:ascii="Arial" w:hAnsi="Arial" w:cs="Arial"/>
        </w:rPr>
        <w:t xml:space="preserve"> will consider the potential impact of any conflicts of interest declared in the application. Applicants </w:t>
      </w:r>
      <w:r w:rsidR="00240A4B" w:rsidRPr="00D72126">
        <w:rPr>
          <w:rFonts w:ascii="Arial" w:eastAsia="Times New Roman" w:hAnsi="Arial" w:cs="Arial"/>
          <w:lang w:eastAsia="en-GB"/>
        </w:rPr>
        <w:t>will not have previously violated any of the requirements of the Data Access Agreement.   </w:t>
      </w:r>
    </w:p>
    <w:p w14:paraId="22B66DA2" w14:textId="77777777" w:rsidR="00240A4B" w:rsidRPr="009C29BA" w:rsidRDefault="00240A4B" w:rsidP="00240A4B">
      <w:pPr>
        <w:spacing w:after="0" w:line="240" w:lineRule="auto"/>
        <w:jc w:val="both"/>
        <w:rPr>
          <w:rFonts w:ascii="Arial" w:eastAsia="Times New Roman" w:hAnsi="Arial" w:cs="Arial"/>
          <w:lang w:eastAsia="en-GB"/>
        </w:rPr>
      </w:pPr>
    </w:p>
    <w:p w14:paraId="0FCD024E" w14:textId="2233EF14" w:rsidR="001B6EC1" w:rsidRPr="009C29BA" w:rsidRDefault="009C29BA" w:rsidP="009C29BA">
      <w:pPr>
        <w:rPr>
          <w:rFonts w:ascii="Arial" w:hAnsi="Arial" w:cs="Arial"/>
          <w:sz w:val="24"/>
          <w:szCs w:val="24"/>
        </w:rPr>
      </w:pPr>
      <w:bookmarkStart w:id="6" w:name="_Hlk20312352"/>
      <w:r>
        <w:rPr>
          <w:rFonts w:ascii="Arial" w:hAnsi="Arial" w:cs="Arial"/>
          <w:sz w:val="24"/>
          <w:szCs w:val="24"/>
        </w:rPr>
        <w:t xml:space="preserve">3.2 </w:t>
      </w:r>
      <w:r w:rsidR="00537588" w:rsidRPr="009C29BA">
        <w:rPr>
          <w:rFonts w:ascii="Arial" w:hAnsi="Arial" w:cs="Arial"/>
          <w:sz w:val="24"/>
          <w:szCs w:val="24"/>
        </w:rPr>
        <w:t xml:space="preserve">Eligibility of the </w:t>
      </w:r>
      <w:bookmarkEnd w:id="6"/>
      <w:r w:rsidR="00537588" w:rsidRPr="009C29BA">
        <w:rPr>
          <w:rFonts w:ascii="Arial" w:hAnsi="Arial" w:cs="Arial"/>
          <w:sz w:val="24"/>
          <w:szCs w:val="24"/>
        </w:rPr>
        <w:t>requester</w:t>
      </w:r>
    </w:p>
    <w:p w14:paraId="39051BEB" w14:textId="77777777" w:rsidR="00240A4B" w:rsidRPr="00D72126" w:rsidRDefault="00240A4B" w:rsidP="00537588">
      <w:pPr>
        <w:spacing w:after="120" w:line="240" w:lineRule="auto"/>
        <w:rPr>
          <w:rFonts w:ascii="Arial" w:hAnsi="Arial" w:cs="Arial"/>
        </w:rPr>
      </w:pPr>
      <w:r w:rsidRPr="00D72126">
        <w:rPr>
          <w:rFonts w:ascii="Arial" w:hAnsi="Arial" w:cs="Arial"/>
        </w:rPr>
        <w:t xml:space="preserve">Research proposals (project applications) must be scientifically sound with adequate methodology to answer the principle research question. Where possible it should address a knowledge gap of value or potential value to the scientific community, health and care sector, and/or to wider public health. The populations and requested data must be appropriate for the investigation. </w:t>
      </w:r>
    </w:p>
    <w:p w14:paraId="140CDF8A" w14:textId="77777777" w:rsidR="00240A4B" w:rsidRPr="00D72126" w:rsidRDefault="00240A4B" w:rsidP="00240A4B">
      <w:pPr>
        <w:spacing w:after="0" w:line="240" w:lineRule="auto"/>
        <w:jc w:val="both"/>
        <w:rPr>
          <w:rFonts w:ascii="Arial" w:hAnsi="Arial" w:cs="Arial"/>
        </w:rPr>
      </w:pPr>
      <w:r w:rsidRPr="00D72126">
        <w:rPr>
          <w:rFonts w:ascii="Arial" w:hAnsi="Arial" w:cs="Arial"/>
        </w:rPr>
        <w:t xml:space="preserve">The Discover Platform </w:t>
      </w:r>
      <w:r w:rsidR="002E78A9" w:rsidRPr="00D72126">
        <w:rPr>
          <w:rFonts w:ascii="Arial" w:hAnsi="Arial" w:cs="Arial"/>
        </w:rPr>
        <w:t>operates in line with the r</w:t>
      </w:r>
      <w:r w:rsidRPr="00D72126">
        <w:rPr>
          <w:rFonts w:ascii="Arial" w:hAnsi="Arial" w:cs="Arial"/>
        </w:rPr>
        <w:t xml:space="preserve">esearch </w:t>
      </w:r>
      <w:r w:rsidR="002E78A9" w:rsidRPr="00D72126">
        <w:rPr>
          <w:rFonts w:ascii="Arial" w:hAnsi="Arial" w:cs="Arial"/>
        </w:rPr>
        <w:t>priorities of the North West London health economy</w:t>
      </w:r>
      <w:r w:rsidRPr="00D72126">
        <w:rPr>
          <w:rFonts w:ascii="Arial" w:hAnsi="Arial" w:cs="Arial"/>
        </w:rPr>
        <w:t xml:space="preserve">.  Whilst applications that address issues within this agenda will be prioritised, applications to access </w:t>
      </w:r>
      <w:r w:rsidR="00F15898" w:rsidRPr="00D72126">
        <w:rPr>
          <w:rFonts w:ascii="Arial" w:hAnsi="Arial" w:cs="Arial"/>
        </w:rPr>
        <w:t>Discover</w:t>
      </w:r>
      <w:r w:rsidRPr="00D72126">
        <w:rPr>
          <w:rFonts w:ascii="Arial" w:hAnsi="Arial" w:cs="Arial"/>
        </w:rPr>
        <w:t xml:space="preserve"> as part of research outside of th</w:t>
      </w:r>
      <w:r w:rsidR="002E78A9" w:rsidRPr="00D72126">
        <w:rPr>
          <w:rFonts w:ascii="Arial" w:hAnsi="Arial" w:cs="Arial"/>
        </w:rPr>
        <w:t xml:space="preserve">ese priorities </w:t>
      </w:r>
      <w:r w:rsidRPr="00D72126">
        <w:rPr>
          <w:rFonts w:ascii="Arial" w:hAnsi="Arial" w:cs="Arial"/>
        </w:rPr>
        <w:t xml:space="preserve">will not be excluded and shall not be used as a basis to deny a proposal. </w:t>
      </w:r>
    </w:p>
    <w:p w14:paraId="4CE86A74" w14:textId="77777777" w:rsidR="00240A4B" w:rsidRPr="00D72126" w:rsidRDefault="00240A4B" w:rsidP="00240A4B">
      <w:pPr>
        <w:spacing w:after="0" w:line="240" w:lineRule="auto"/>
        <w:jc w:val="both"/>
        <w:rPr>
          <w:rFonts w:ascii="Arial" w:eastAsia="Times New Roman" w:hAnsi="Arial" w:cs="Arial"/>
          <w:lang w:eastAsia="en-GB"/>
        </w:rPr>
      </w:pPr>
    </w:p>
    <w:p w14:paraId="1B7684B3" w14:textId="23FC482D" w:rsidR="00F2321C" w:rsidRPr="00370435" w:rsidRDefault="00F2321C" w:rsidP="00F2321C">
      <w:pPr>
        <w:rPr>
          <w:rFonts w:ascii="Arial" w:hAnsi="Arial" w:cs="Arial"/>
          <w:sz w:val="24"/>
          <w:szCs w:val="24"/>
        </w:rPr>
      </w:pPr>
      <w:r w:rsidRPr="00370435">
        <w:rPr>
          <w:rFonts w:ascii="Arial" w:hAnsi="Arial" w:cs="Arial"/>
          <w:sz w:val="24"/>
          <w:szCs w:val="24"/>
        </w:rPr>
        <w:t xml:space="preserve">3.2 </w:t>
      </w:r>
      <w:r w:rsidR="00D13E57" w:rsidRPr="00370435">
        <w:rPr>
          <w:rFonts w:ascii="Arial" w:hAnsi="Arial" w:cs="Arial"/>
          <w:sz w:val="24"/>
          <w:szCs w:val="24"/>
        </w:rPr>
        <w:t>Eligibility of the</w:t>
      </w:r>
      <w:r w:rsidR="00005516" w:rsidRPr="00370435">
        <w:rPr>
          <w:rFonts w:ascii="Arial" w:hAnsi="Arial" w:cs="Arial"/>
          <w:sz w:val="24"/>
          <w:szCs w:val="24"/>
        </w:rPr>
        <w:t xml:space="preserve"> research ethics and other approvals</w:t>
      </w:r>
    </w:p>
    <w:p w14:paraId="006AFAD6" w14:textId="77777777" w:rsidR="00240A4B" w:rsidRPr="00D72126" w:rsidRDefault="00240A4B" w:rsidP="00537588">
      <w:pPr>
        <w:spacing w:after="0" w:line="240" w:lineRule="auto"/>
        <w:rPr>
          <w:rFonts w:ascii="Arial" w:eastAsia="Times New Roman" w:hAnsi="Arial" w:cs="Arial"/>
          <w:lang w:eastAsia="en-GB"/>
        </w:rPr>
      </w:pPr>
      <w:r w:rsidRPr="00D72126">
        <w:rPr>
          <w:rFonts w:ascii="Arial" w:eastAsia="Times New Roman" w:hAnsi="Arial" w:cs="Arial"/>
          <w:lang w:eastAsia="en-GB"/>
        </w:rPr>
        <w:t>All research proposals</w:t>
      </w:r>
      <w:r w:rsidR="002E78A9" w:rsidRPr="00D72126">
        <w:rPr>
          <w:rFonts w:ascii="Arial" w:eastAsia="Times New Roman" w:hAnsi="Arial" w:cs="Arial"/>
          <w:lang w:eastAsia="en-GB"/>
        </w:rPr>
        <w:t xml:space="preserve">, </w:t>
      </w:r>
      <w:r w:rsidR="002E78A9" w:rsidRPr="00D72126">
        <w:rPr>
          <w:rFonts w:ascii="Arial" w:eastAsia="Times New Roman" w:hAnsi="Arial" w:cs="Arial"/>
          <w:b/>
          <w:lang w:eastAsia="en-GB"/>
        </w:rPr>
        <w:t>except feasibility questions</w:t>
      </w:r>
      <w:r w:rsidR="00681379" w:rsidRPr="00D72126">
        <w:rPr>
          <w:rFonts w:ascii="Arial" w:eastAsia="Times New Roman" w:hAnsi="Arial" w:cs="Arial"/>
          <w:b/>
          <w:lang w:eastAsia="en-GB"/>
        </w:rPr>
        <w:t xml:space="preserve"> and requests for access to ano</w:t>
      </w:r>
      <w:r w:rsidR="002D1546" w:rsidRPr="00D72126">
        <w:rPr>
          <w:rFonts w:ascii="Arial" w:eastAsia="Times New Roman" w:hAnsi="Arial" w:cs="Arial"/>
          <w:b/>
          <w:lang w:eastAsia="en-GB"/>
        </w:rPr>
        <w:t xml:space="preserve">nymised </w:t>
      </w:r>
      <w:r w:rsidR="001A7F98" w:rsidRPr="00D72126">
        <w:rPr>
          <w:rFonts w:ascii="Arial" w:eastAsia="Times New Roman" w:hAnsi="Arial" w:cs="Arial"/>
          <w:b/>
          <w:lang w:eastAsia="en-GB"/>
        </w:rPr>
        <w:t>reports</w:t>
      </w:r>
      <w:r w:rsidR="002E78A9" w:rsidRPr="00D72126">
        <w:rPr>
          <w:rFonts w:ascii="Arial" w:eastAsia="Times New Roman" w:hAnsi="Arial" w:cs="Arial"/>
          <w:lang w:eastAsia="en-GB"/>
        </w:rPr>
        <w:t xml:space="preserve">, </w:t>
      </w:r>
      <w:r w:rsidRPr="00D72126">
        <w:rPr>
          <w:rFonts w:ascii="Arial" w:eastAsia="Times New Roman" w:hAnsi="Arial" w:cs="Arial"/>
          <w:lang w:eastAsia="en-GB"/>
        </w:rPr>
        <w:t xml:space="preserve">must be </w:t>
      </w:r>
      <w:hyperlink r:id="rId19" w:history="1">
        <w:r w:rsidR="000B297C" w:rsidRPr="00D72126">
          <w:rPr>
            <w:rStyle w:val="Hyperlink"/>
            <w:rFonts w:ascii="Arial" w:eastAsia="Times New Roman" w:hAnsi="Arial" w:cs="Arial"/>
            <w:lang w:eastAsia="en-GB"/>
          </w:rPr>
          <w:t>sponsored</w:t>
        </w:r>
      </w:hyperlink>
      <w:r w:rsidR="000B297C" w:rsidRPr="00D72126">
        <w:rPr>
          <w:rFonts w:ascii="Arial" w:eastAsia="Times New Roman" w:hAnsi="Arial" w:cs="Arial"/>
          <w:lang w:eastAsia="en-GB"/>
        </w:rPr>
        <w:t xml:space="preserve"> by an ISA signatory Trust</w:t>
      </w:r>
      <w:r w:rsidRPr="00D72126">
        <w:rPr>
          <w:rFonts w:ascii="Arial" w:eastAsia="Times New Roman" w:hAnsi="Arial" w:cs="Arial"/>
          <w:lang w:eastAsia="en-GB"/>
        </w:rPr>
        <w:t xml:space="preserve"> and when required (e.g. if recruitment is being sought) </w:t>
      </w:r>
      <w:r w:rsidR="000B297C" w:rsidRPr="00D72126">
        <w:rPr>
          <w:rFonts w:ascii="Arial" w:eastAsia="Times New Roman" w:hAnsi="Arial" w:cs="Arial"/>
          <w:lang w:eastAsia="en-GB"/>
        </w:rPr>
        <w:t>have a</w:t>
      </w:r>
      <w:r w:rsidR="00C8112A" w:rsidRPr="00D72126">
        <w:rPr>
          <w:rFonts w:ascii="Arial" w:eastAsia="Times New Roman" w:hAnsi="Arial" w:cs="Arial"/>
          <w:lang w:eastAsia="en-GB"/>
        </w:rPr>
        <w:t xml:space="preserve">pproval from </w:t>
      </w:r>
      <w:r w:rsidRPr="00D72126">
        <w:rPr>
          <w:rFonts w:ascii="Arial" w:eastAsia="Times New Roman" w:hAnsi="Arial" w:cs="Arial"/>
          <w:lang w:eastAsia="en-GB"/>
        </w:rPr>
        <w:t xml:space="preserve">the Health </w:t>
      </w:r>
      <w:r w:rsidR="00221FA1" w:rsidRPr="00D72126">
        <w:rPr>
          <w:rFonts w:ascii="Arial" w:eastAsia="Times New Roman" w:hAnsi="Arial" w:cs="Arial"/>
          <w:lang w:eastAsia="en-GB"/>
        </w:rPr>
        <w:t>Research</w:t>
      </w:r>
      <w:r w:rsidRPr="00D72126">
        <w:rPr>
          <w:rFonts w:ascii="Arial" w:eastAsia="Times New Roman" w:hAnsi="Arial" w:cs="Arial"/>
          <w:lang w:eastAsia="en-GB"/>
        </w:rPr>
        <w:t xml:space="preserve"> Authority</w:t>
      </w:r>
      <w:r w:rsidR="000B297C" w:rsidRPr="00D72126">
        <w:rPr>
          <w:rFonts w:ascii="Arial" w:eastAsia="Times New Roman" w:hAnsi="Arial" w:cs="Arial"/>
          <w:lang w:eastAsia="en-GB"/>
        </w:rPr>
        <w:t xml:space="preserve"> </w:t>
      </w:r>
      <w:r w:rsidR="00C8112A" w:rsidRPr="00D72126">
        <w:rPr>
          <w:rFonts w:ascii="Arial" w:eastAsia="Times New Roman" w:hAnsi="Arial" w:cs="Arial"/>
          <w:lang w:eastAsia="en-GB"/>
        </w:rPr>
        <w:t>and a</w:t>
      </w:r>
      <w:r w:rsidR="000B297C" w:rsidRPr="00D72126">
        <w:rPr>
          <w:rFonts w:ascii="Arial" w:eastAsia="Times New Roman" w:hAnsi="Arial" w:cs="Arial"/>
          <w:lang w:eastAsia="en-GB"/>
        </w:rPr>
        <w:t xml:space="preserve"> Research Ethics Committee</w:t>
      </w:r>
      <w:r w:rsidRPr="00D72126">
        <w:rPr>
          <w:rFonts w:ascii="Arial" w:eastAsia="Times New Roman" w:hAnsi="Arial" w:cs="Arial"/>
          <w:lang w:eastAsia="en-GB"/>
        </w:rPr>
        <w:t>, along with any other approvals required for the Data Requestor to undertake the research. </w:t>
      </w:r>
      <w:r w:rsidR="004E6433" w:rsidRPr="00D72126">
        <w:rPr>
          <w:rFonts w:ascii="Arial" w:eastAsia="Times New Roman" w:hAnsi="Arial" w:cs="Arial"/>
          <w:lang w:eastAsia="en-GB"/>
        </w:rPr>
        <w:t xml:space="preserve"> </w:t>
      </w:r>
    </w:p>
    <w:p w14:paraId="23258277" w14:textId="77777777" w:rsidR="00240A4B" w:rsidRPr="00D72126" w:rsidRDefault="00240A4B" w:rsidP="00240A4B">
      <w:pPr>
        <w:spacing w:after="0" w:line="240" w:lineRule="auto"/>
        <w:jc w:val="both"/>
        <w:rPr>
          <w:rFonts w:ascii="Arial" w:eastAsia="Times New Roman" w:hAnsi="Arial" w:cs="Arial"/>
          <w:lang w:eastAsia="en-GB"/>
        </w:rPr>
      </w:pPr>
    </w:p>
    <w:p w14:paraId="5421C963" w14:textId="77777777" w:rsidR="00035096" w:rsidRDefault="00035096">
      <w:pPr>
        <w:rPr>
          <w:rFonts w:ascii="Arial" w:eastAsia="Times New Roman" w:hAnsi="Arial" w:cs="Arial"/>
          <w:lang w:eastAsia="en-GB"/>
        </w:rPr>
      </w:pPr>
      <w:r>
        <w:rPr>
          <w:rFonts w:ascii="Arial" w:eastAsia="Times New Roman" w:hAnsi="Arial" w:cs="Arial"/>
          <w:lang w:eastAsia="en-GB"/>
        </w:rPr>
        <w:br w:type="page"/>
      </w:r>
    </w:p>
    <w:p w14:paraId="1682AD18" w14:textId="77777777" w:rsidR="00035096" w:rsidRDefault="00035096" w:rsidP="00537588">
      <w:pPr>
        <w:pBdr>
          <w:left w:val="single" w:sz="12" w:space="0" w:color="FFFFFF"/>
          <w:right w:val="single" w:sz="12" w:space="0" w:color="FFFFFF"/>
        </w:pBdr>
        <w:spacing w:after="0" w:line="240" w:lineRule="auto"/>
        <w:rPr>
          <w:rFonts w:ascii="Arial" w:eastAsia="Times New Roman" w:hAnsi="Arial" w:cs="Arial"/>
          <w:lang w:eastAsia="en-GB"/>
        </w:rPr>
      </w:pPr>
    </w:p>
    <w:p w14:paraId="15193B26" w14:textId="77777777" w:rsidR="00035096" w:rsidRDefault="00035096" w:rsidP="00537588">
      <w:pPr>
        <w:pBdr>
          <w:left w:val="single" w:sz="12" w:space="0" w:color="FFFFFF"/>
          <w:right w:val="single" w:sz="12" w:space="0" w:color="FFFFFF"/>
        </w:pBdr>
        <w:spacing w:after="0" w:line="240" w:lineRule="auto"/>
        <w:rPr>
          <w:rFonts w:ascii="Arial" w:eastAsia="Times New Roman" w:hAnsi="Arial" w:cs="Arial"/>
          <w:lang w:eastAsia="en-GB"/>
        </w:rPr>
      </w:pPr>
    </w:p>
    <w:p w14:paraId="63A3CE7F" w14:textId="77777777" w:rsidR="00035096" w:rsidRDefault="00035096" w:rsidP="00537588">
      <w:pPr>
        <w:pBdr>
          <w:left w:val="single" w:sz="12" w:space="0" w:color="FFFFFF"/>
          <w:right w:val="single" w:sz="12" w:space="0" w:color="FFFFFF"/>
        </w:pBdr>
        <w:spacing w:after="0" w:line="240" w:lineRule="auto"/>
        <w:rPr>
          <w:rFonts w:ascii="Arial" w:eastAsia="Times New Roman" w:hAnsi="Arial" w:cs="Arial"/>
          <w:lang w:eastAsia="en-GB"/>
        </w:rPr>
      </w:pPr>
    </w:p>
    <w:p w14:paraId="11499C2E" w14:textId="77777777" w:rsidR="00035096" w:rsidRDefault="00035096" w:rsidP="00537588">
      <w:pPr>
        <w:pBdr>
          <w:left w:val="single" w:sz="12" w:space="0" w:color="FFFFFF"/>
          <w:right w:val="single" w:sz="12" w:space="0" w:color="FFFFFF"/>
        </w:pBdr>
        <w:spacing w:after="0" w:line="240" w:lineRule="auto"/>
        <w:rPr>
          <w:rFonts w:ascii="Arial" w:eastAsia="Times New Roman" w:hAnsi="Arial" w:cs="Arial"/>
          <w:lang w:eastAsia="en-GB"/>
        </w:rPr>
      </w:pPr>
    </w:p>
    <w:p w14:paraId="710AD4D6" w14:textId="14D4A240" w:rsidR="00240A4B" w:rsidRPr="00D72126" w:rsidRDefault="00240A4B" w:rsidP="00537588">
      <w:pPr>
        <w:pBdr>
          <w:left w:val="single" w:sz="12" w:space="0" w:color="FFFFFF"/>
          <w:right w:val="single" w:sz="12" w:space="0" w:color="FFFFFF"/>
        </w:pBdr>
        <w:spacing w:after="0" w:line="240" w:lineRule="auto"/>
        <w:rPr>
          <w:rFonts w:ascii="Arial" w:eastAsia="Times New Roman" w:hAnsi="Arial" w:cs="Arial"/>
          <w:lang w:eastAsia="en-GB"/>
        </w:rPr>
      </w:pPr>
      <w:r w:rsidRPr="00D72126">
        <w:rPr>
          <w:rFonts w:ascii="Arial" w:eastAsia="Times New Roman" w:hAnsi="Arial" w:cs="Arial"/>
          <w:lang w:eastAsia="en-GB"/>
        </w:rPr>
        <w:t xml:space="preserve">Applications may be submitted prior to obtaining all necessary approvals and the </w:t>
      </w:r>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shall be allowed to issue a letter of intent indicating approval of the application and making data access contingent upon receipt of the relevant approvals. </w:t>
      </w:r>
      <w:r w:rsidR="00E12609" w:rsidRPr="00D72126">
        <w:rPr>
          <w:rFonts w:ascii="Arial" w:eastAsia="Times New Roman" w:hAnsi="Arial" w:cs="Arial"/>
          <w:lang w:eastAsia="en-GB"/>
        </w:rPr>
        <w:t>Access to Discove</w:t>
      </w:r>
      <w:r w:rsidR="006B2C89" w:rsidRPr="00D72126">
        <w:rPr>
          <w:rFonts w:ascii="Arial" w:eastAsia="Times New Roman" w:hAnsi="Arial" w:cs="Arial"/>
          <w:lang w:eastAsia="en-GB"/>
        </w:rPr>
        <w:t>r w</w:t>
      </w:r>
      <w:r w:rsidRPr="00D72126">
        <w:rPr>
          <w:rFonts w:ascii="Arial" w:eastAsia="Times New Roman" w:hAnsi="Arial" w:cs="Arial"/>
          <w:lang w:eastAsia="en-GB"/>
        </w:rPr>
        <w:t xml:space="preserve">ill only be made available when all required approvals are in place. Data Requestors are responsible for ensuring that the rights, safety, privacy and welfare of the subjects are protected at all times, as outlined in the Data Access Agreement.  </w:t>
      </w:r>
    </w:p>
    <w:p w14:paraId="6D648A0E" w14:textId="77777777" w:rsidR="00537498" w:rsidRDefault="00537498" w:rsidP="00221FA1">
      <w:pPr>
        <w:pStyle w:val="Heading2"/>
        <w:rPr>
          <w:rFonts w:ascii="Arial" w:hAnsi="Arial" w:cs="Arial"/>
          <w:sz w:val="22"/>
          <w:szCs w:val="22"/>
        </w:rPr>
      </w:pPr>
      <w:bookmarkStart w:id="7" w:name="_Toc488939637"/>
    </w:p>
    <w:p w14:paraId="175B63B7" w14:textId="5ADF9B47" w:rsidR="00240A4B" w:rsidRPr="00035096" w:rsidRDefault="00AB6BF4" w:rsidP="00974CEA">
      <w:pPr>
        <w:pStyle w:val="Heading2"/>
        <w:numPr>
          <w:ilvl w:val="0"/>
          <w:numId w:val="15"/>
        </w:numPr>
        <w:rPr>
          <w:rFonts w:ascii="Arial" w:hAnsi="Arial" w:cs="Arial"/>
          <w:color w:val="auto"/>
          <w:sz w:val="24"/>
          <w:szCs w:val="24"/>
        </w:rPr>
      </w:pPr>
      <w:bookmarkStart w:id="8" w:name="_Hlk20315331"/>
      <w:bookmarkEnd w:id="7"/>
      <w:r w:rsidRPr="00035096">
        <w:rPr>
          <w:rFonts w:ascii="Arial" w:hAnsi="Arial" w:cs="Arial"/>
          <w:color w:val="auto"/>
          <w:sz w:val="24"/>
          <w:szCs w:val="24"/>
        </w:rPr>
        <w:t>Feedback and appeal</w:t>
      </w:r>
      <w:r w:rsidR="00974CEA" w:rsidRPr="00035096">
        <w:rPr>
          <w:rFonts w:ascii="Arial" w:hAnsi="Arial" w:cs="Arial"/>
          <w:color w:val="auto"/>
          <w:sz w:val="24"/>
          <w:szCs w:val="24"/>
        </w:rPr>
        <w:t>s</w:t>
      </w:r>
    </w:p>
    <w:bookmarkEnd w:id="8"/>
    <w:p w14:paraId="536EC099" w14:textId="77777777" w:rsidR="00974CEA" w:rsidRPr="00A5742C" w:rsidRDefault="00974CEA" w:rsidP="00974CEA"/>
    <w:p w14:paraId="038BC6AC" w14:textId="6584B28F" w:rsidR="00035096" w:rsidRPr="00DB0A2E" w:rsidRDefault="001A48FB" w:rsidP="00035096">
      <w:pPr>
        <w:rPr>
          <w:rFonts w:ascii="Arial" w:hAnsi="Arial" w:cs="Arial"/>
          <w:sz w:val="24"/>
          <w:szCs w:val="24"/>
        </w:rPr>
      </w:pPr>
      <w:r w:rsidRPr="00DB0A2E">
        <w:rPr>
          <w:rFonts w:ascii="Arial" w:eastAsia="Times New Roman" w:hAnsi="Arial" w:cs="Arial"/>
          <w:sz w:val="24"/>
          <w:szCs w:val="24"/>
          <w:lang w:eastAsia="en-GB"/>
        </w:rPr>
        <w:t xml:space="preserve">4.1 </w:t>
      </w:r>
      <w:r w:rsidR="00647044" w:rsidRPr="00DB0A2E">
        <w:rPr>
          <w:rFonts w:ascii="Arial" w:hAnsi="Arial" w:cs="Arial"/>
          <w:sz w:val="24"/>
          <w:szCs w:val="24"/>
        </w:rPr>
        <w:t>Feedback from</w:t>
      </w:r>
      <w:r w:rsidRPr="00DB0A2E">
        <w:rPr>
          <w:rFonts w:ascii="Arial" w:hAnsi="Arial" w:cs="Arial"/>
          <w:sz w:val="24"/>
          <w:szCs w:val="24"/>
        </w:rPr>
        <w:t xml:space="preserve"> the Discover Research Access Group (</w:t>
      </w:r>
      <w:r w:rsidR="00DB0A2E">
        <w:rPr>
          <w:rFonts w:ascii="Arial" w:hAnsi="Arial" w:cs="Arial"/>
          <w:sz w:val="24"/>
          <w:szCs w:val="24"/>
        </w:rPr>
        <w:t>NWL Research Access Committee</w:t>
      </w:r>
      <w:r w:rsidRPr="00DB0A2E">
        <w:rPr>
          <w:rFonts w:ascii="Arial" w:hAnsi="Arial" w:cs="Arial"/>
          <w:sz w:val="24"/>
          <w:szCs w:val="24"/>
        </w:rPr>
        <w:t>)</w:t>
      </w:r>
    </w:p>
    <w:p w14:paraId="1D04FAD6" w14:textId="2EC3026C" w:rsidR="00240A4B" w:rsidRPr="00A5742C" w:rsidRDefault="00EE2057" w:rsidP="00240A4B">
      <w:pPr>
        <w:spacing w:after="0" w:line="240" w:lineRule="auto"/>
        <w:jc w:val="both"/>
        <w:rPr>
          <w:rFonts w:ascii="Arial" w:eastAsia="Times New Roman" w:hAnsi="Arial" w:cs="Arial"/>
          <w:lang w:eastAsia="en-GB"/>
        </w:rPr>
      </w:pPr>
      <w:r w:rsidRPr="00DB0A2E">
        <w:rPr>
          <w:rFonts w:ascii="Arial" w:eastAsia="Times New Roman" w:hAnsi="Arial" w:cs="Arial"/>
          <w:lang w:eastAsia="en-GB"/>
        </w:rPr>
        <w:t xml:space="preserve">The decision of the </w:t>
      </w:r>
      <w:r w:rsidRPr="00DE5CE5">
        <w:rPr>
          <w:rFonts w:ascii="Arial" w:eastAsia="Times New Roman" w:hAnsi="Arial" w:cs="Arial"/>
          <w:lang w:eastAsia="en-GB"/>
        </w:rPr>
        <w:t>NWL Research</w:t>
      </w:r>
      <w:r w:rsidR="00EC2D64" w:rsidRPr="00DE5CE5">
        <w:rPr>
          <w:rFonts w:ascii="Arial" w:eastAsia="Times New Roman" w:hAnsi="Arial" w:cs="Arial"/>
          <w:lang w:eastAsia="en-GB"/>
        </w:rPr>
        <w:t xml:space="preserve"> Access Committee</w:t>
      </w:r>
      <w:r w:rsidR="00240A4B" w:rsidRPr="00DE5CE5">
        <w:rPr>
          <w:rFonts w:ascii="Arial" w:eastAsia="Times New Roman" w:hAnsi="Arial" w:cs="Arial"/>
          <w:lang w:eastAsia="en-GB"/>
        </w:rPr>
        <w:t xml:space="preserve"> </w:t>
      </w:r>
      <w:r w:rsidR="00240A4B" w:rsidRPr="00A5742C">
        <w:rPr>
          <w:rFonts w:ascii="Arial" w:eastAsia="Times New Roman" w:hAnsi="Arial" w:cs="Arial"/>
          <w:lang w:eastAsia="en-GB"/>
        </w:rPr>
        <w:t>will be communicat</w:t>
      </w:r>
      <w:r w:rsidR="00EC2D64" w:rsidRPr="00A5742C">
        <w:rPr>
          <w:rFonts w:ascii="Arial" w:eastAsia="Times New Roman" w:hAnsi="Arial" w:cs="Arial"/>
          <w:lang w:eastAsia="en-GB"/>
        </w:rPr>
        <w:t>ed to the Data Requestor within</w:t>
      </w:r>
      <w:r w:rsidR="00240A4B" w:rsidRPr="00A5742C">
        <w:rPr>
          <w:rFonts w:ascii="Arial" w:eastAsia="Times New Roman" w:hAnsi="Arial" w:cs="Arial"/>
          <w:lang w:eastAsia="en-GB"/>
        </w:rPr>
        <w:t xml:space="preserve"> </w:t>
      </w:r>
      <w:r w:rsidR="00974CEA" w:rsidRPr="00DE5CE5">
        <w:rPr>
          <w:rFonts w:ascii="Arial" w:eastAsia="Times New Roman" w:hAnsi="Arial" w:cs="Arial"/>
          <w:lang w:eastAsia="en-GB"/>
        </w:rPr>
        <w:t xml:space="preserve">5 working days </w:t>
      </w:r>
      <w:r w:rsidR="00EC2D64" w:rsidRPr="00DE5CE5">
        <w:rPr>
          <w:rFonts w:ascii="Arial" w:eastAsia="Times New Roman" w:hAnsi="Arial" w:cs="Arial"/>
          <w:lang w:eastAsia="en-GB"/>
        </w:rPr>
        <w:t>of</w:t>
      </w:r>
      <w:r w:rsidR="00974CEA" w:rsidRPr="00DE5CE5">
        <w:rPr>
          <w:rFonts w:ascii="Arial" w:eastAsia="Times New Roman" w:hAnsi="Arial" w:cs="Arial"/>
          <w:lang w:eastAsia="en-GB"/>
        </w:rPr>
        <w:t xml:space="preserve"> </w:t>
      </w:r>
      <w:r w:rsidR="00EC2D64" w:rsidRPr="00DE5CE5">
        <w:rPr>
          <w:rFonts w:ascii="Arial" w:eastAsia="Times New Roman" w:hAnsi="Arial" w:cs="Arial"/>
          <w:lang w:eastAsia="en-GB"/>
        </w:rPr>
        <w:t>the NWL Research Access Committee</w:t>
      </w:r>
      <w:r w:rsidR="005F5311" w:rsidRPr="00DE5CE5">
        <w:rPr>
          <w:rFonts w:ascii="Arial" w:eastAsia="Times New Roman" w:hAnsi="Arial" w:cs="Arial"/>
          <w:lang w:eastAsia="en-GB"/>
        </w:rPr>
        <w:t xml:space="preserve"> meeting</w:t>
      </w:r>
      <w:r w:rsidR="00240A4B" w:rsidRPr="00A5742C">
        <w:rPr>
          <w:rFonts w:ascii="Arial" w:eastAsia="Times New Roman" w:hAnsi="Arial" w:cs="Arial"/>
          <w:lang w:eastAsia="en-GB"/>
        </w:rPr>
        <w:t xml:space="preserve">. The </w:t>
      </w:r>
      <w:r w:rsidR="00DB0A2E">
        <w:rPr>
          <w:rFonts w:ascii="Arial" w:eastAsia="Times New Roman" w:hAnsi="Arial" w:cs="Arial"/>
          <w:lang w:eastAsia="en-GB"/>
        </w:rPr>
        <w:t>NWL Research Access Committee</w:t>
      </w:r>
      <w:r w:rsidR="00240A4B" w:rsidRPr="00A5742C">
        <w:rPr>
          <w:rFonts w:ascii="Arial" w:eastAsia="Times New Roman" w:hAnsi="Arial" w:cs="Arial"/>
          <w:lang w:eastAsia="en-GB"/>
        </w:rPr>
        <w:t xml:space="preserve"> may decide one of the following:</w:t>
      </w:r>
    </w:p>
    <w:p w14:paraId="6317AD2C" w14:textId="77777777" w:rsidR="00240A4B" w:rsidRPr="00D72126" w:rsidRDefault="00240A4B" w:rsidP="00240A4B">
      <w:pPr>
        <w:spacing w:after="0" w:line="240" w:lineRule="auto"/>
        <w:jc w:val="both"/>
        <w:rPr>
          <w:rFonts w:ascii="Arial" w:eastAsia="Times New Roman" w:hAnsi="Arial" w:cs="Arial"/>
          <w:lang w:eastAsia="en-GB"/>
        </w:rPr>
      </w:pPr>
    </w:p>
    <w:p w14:paraId="1E5B4B20" w14:textId="77777777" w:rsidR="00240A4B" w:rsidRPr="00D72126" w:rsidRDefault="00240A4B" w:rsidP="00240A4B">
      <w:pPr>
        <w:numPr>
          <w:ilvl w:val="0"/>
          <w:numId w:val="1"/>
        </w:numPr>
        <w:spacing w:after="0" w:line="240" w:lineRule="auto"/>
        <w:jc w:val="both"/>
        <w:rPr>
          <w:rFonts w:ascii="Arial" w:eastAsia="Times New Roman" w:hAnsi="Arial" w:cs="Arial"/>
          <w:lang w:val="en-US" w:eastAsia="en-GB"/>
        </w:rPr>
      </w:pPr>
      <w:r w:rsidRPr="00D72126">
        <w:rPr>
          <w:rFonts w:ascii="Arial" w:eastAsia="Times New Roman" w:hAnsi="Arial" w:cs="Arial"/>
          <w:lang w:val="en-US" w:eastAsia="en-GB"/>
        </w:rPr>
        <w:t>Approve the access request;</w:t>
      </w:r>
    </w:p>
    <w:p w14:paraId="2F5DD1CF" w14:textId="77777777" w:rsidR="00240A4B" w:rsidRPr="00D72126" w:rsidRDefault="00240A4B" w:rsidP="00240A4B">
      <w:pPr>
        <w:numPr>
          <w:ilvl w:val="0"/>
          <w:numId w:val="1"/>
        </w:numPr>
        <w:spacing w:after="0" w:line="240" w:lineRule="auto"/>
        <w:jc w:val="both"/>
        <w:rPr>
          <w:rFonts w:ascii="Arial" w:eastAsia="Times New Roman" w:hAnsi="Arial" w:cs="Arial"/>
          <w:lang w:val="en-US" w:eastAsia="en-GB"/>
        </w:rPr>
      </w:pPr>
      <w:r w:rsidRPr="00D72126">
        <w:rPr>
          <w:rFonts w:ascii="Arial" w:eastAsia="Times New Roman" w:hAnsi="Arial" w:cs="Arial"/>
          <w:lang w:val="en-US" w:eastAsia="en-GB"/>
        </w:rPr>
        <w:t>Approve the access request subject to minor amendments or caveats (these may be subsequently approved by the Chair if satisfied);</w:t>
      </w:r>
    </w:p>
    <w:p w14:paraId="3D46BB1B" w14:textId="77777777" w:rsidR="00240A4B" w:rsidRPr="00D72126" w:rsidRDefault="00240A4B" w:rsidP="00240A4B">
      <w:pPr>
        <w:numPr>
          <w:ilvl w:val="0"/>
          <w:numId w:val="1"/>
        </w:numPr>
        <w:spacing w:after="0" w:line="240" w:lineRule="auto"/>
        <w:jc w:val="both"/>
        <w:rPr>
          <w:rFonts w:ascii="Arial" w:eastAsia="Times New Roman" w:hAnsi="Arial" w:cs="Arial"/>
          <w:lang w:val="en-US" w:eastAsia="en-GB"/>
        </w:rPr>
      </w:pPr>
      <w:r w:rsidRPr="00D72126">
        <w:rPr>
          <w:rFonts w:ascii="Arial" w:eastAsia="Times New Roman" w:hAnsi="Arial" w:cs="Arial"/>
          <w:lang w:val="en-US" w:eastAsia="en-GB"/>
        </w:rPr>
        <w:t xml:space="preserve">Defer for further consideration (additional expertise may be co-opted to </w:t>
      </w:r>
      <w:r w:rsidR="00221FA1" w:rsidRPr="00D72126">
        <w:rPr>
          <w:rFonts w:ascii="Arial" w:eastAsia="Times New Roman" w:hAnsi="Arial" w:cs="Arial"/>
          <w:lang w:val="en-US" w:eastAsia="en-GB"/>
        </w:rPr>
        <w:t>review,</w:t>
      </w:r>
      <w:r w:rsidRPr="00D72126">
        <w:rPr>
          <w:rFonts w:ascii="Arial" w:eastAsia="Times New Roman" w:hAnsi="Arial" w:cs="Arial"/>
          <w:lang w:val="en-US" w:eastAsia="en-GB"/>
        </w:rPr>
        <w:t xml:space="preserve"> or further information may be solicited from data requestor);</w:t>
      </w:r>
    </w:p>
    <w:p w14:paraId="5D84CA88" w14:textId="77777777" w:rsidR="00240A4B" w:rsidRPr="00D72126" w:rsidRDefault="00240A4B" w:rsidP="00240A4B">
      <w:pPr>
        <w:numPr>
          <w:ilvl w:val="0"/>
          <w:numId w:val="1"/>
        </w:numPr>
        <w:spacing w:after="0" w:line="240" w:lineRule="auto"/>
        <w:jc w:val="both"/>
        <w:rPr>
          <w:rFonts w:ascii="Arial" w:eastAsia="Times New Roman" w:hAnsi="Arial" w:cs="Arial"/>
          <w:lang w:val="en-US" w:eastAsia="en-GB"/>
        </w:rPr>
      </w:pPr>
      <w:r w:rsidRPr="00D72126">
        <w:rPr>
          <w:rFonts w:ascii="Arial" w:eastAsia="Times New Roman" w:hAnsi="Arial" w:cs="Arial"/>
          <w:lang w:val="en-US" w:eastAsia="en-GB"/>
        </w:rPr>
        <w:t>Reject the access request, with rationale provided.</w:t>
      </w:r>
    </w:p>
    <w:p w14:paraId="4A5AA76F" w14:textId="77777777" w:rsidR="00240A4B" w:rsidRPr="00D72126" w:rsidRDefault="00240A4B" w:rsidP="00240A4B">
      <w:pPr>
        <w:spacing w:after="0" w:line="240" w:lineRule="auto"/>
        <w:jc w:val="both"/>
        <w:rPr>
          <w:rFonts w:ascii="Arial" w:eastAsia="Times New Roman" w:hAnsi="Arial" w:cs="Arial"/>
          <w:lang w:eastAsia="en-GB"/>
        </w:rPr>
      </w:pPr>
    </w:p>
    <w:p w14:paraId="12D639F9" w14:textId="0A40C759" w:rsidR="00240A4B" w:rsidRPr="00D72126" w:rsidRDefault="00240A4B" w:rsidP="00240A4B">
      <w:pPr>
        <w:spacing w:line="256" w:lineRule="auto"/>
        <w:jc w:val="both"/>
        <w:rPr>
          <w:rFonts w:ascii="Arial" w:eastAsia="Times New Roman" w:hAnsi="Arial" w:cs="Arial"/>
          <w:lang w:eastAsia="en-GB"/>
        </w:rPr>
      </w:pPr>
      <w:r w:rsidRPr="00D72126">
        <w:rPr>
          <w:rFonts w:ascii="Arial" w:hAnsi="Arial" w:cs="Arial"/>
        </w:rPr>
        <w:t xml:space="preserve">The outcome will be communicated via the </w:t>
      </w:r>
      <w:r w:rsidR="002E78A9" w:rsidRPr="00D72126">
        <w:rPr>
          <w:rFonts w:ascii="Arial" w:hAnsi="Arial" w:cs="Arial"/>
        </w:rPr>
        <w:t>Discover Team</w:t>
      </w:r>
      <w:r w:rsidRPr="00D72126">
        <w:rPr>
          <w:rFonts w:ascii="Arial" w:hAnsi="Arial" w:cs="Arial"/>
        </w:rPr>
        <w:t xml:space="preserve"> and a hard copy will also be sent to the researcher, alongside </w:t>
      </w:r>
      <w:r w:rsidR="002E78A9" w:rsidRPr="00D72126">
        <w:rPr>
          <w:rFonts w:ascii="Arial" w:hAnsi="Arial" w:cs="Arial"/>
        </w:rPr>
        <w:t>the D</w:t>
      </w:r>
      <w:r w:rsidRPr="00D72126">
        <w:rPr>
          <w:rFonts w:ascii="Arial" w:hAnsi="Arial" w:cs="Arial"/>
        </w:rPr>
        <w:t xml:space="preserve">ata </w:t>
      </w:r>
      <w:r w:rsidR="002E78A9" w:rsidRPr="00D72126">
        <w:rPr>
          <w:rFonts w:ascii="Arial" w:hAnsi="Arial" w:cs="Arial"/>
        </w:rPr>
        <w:t>A</w:t>
      </w:r>
      <w:r w:rsidRPr="00D72126">
        <w:rPr>
          <w:rFonts w:ascii="Arial" w:hAnsi="Arial" w:cs="Arial"/>
        </w:rPr>
        <w:t xml:space="preserve">ccess </w:t>
      </w:r>
      <w:r w:rsidR="002E78A9" w:rsidRPr="00D72126">
        <w:rPr>
          <w:rFonts w:ascii="Arial" w:hAnsi="Arial" w:cs="Arial"/>
        </w:rPr>
        <w:t>A</w:t>
      </w:r>
      <w:r w:rsidRPr="00D72126">
        <w:rPr>
          <w:rFonts w:ascii="Arial" w:hAnsi="Arial" w:cs="Arial"/>
        </w:rPr>
        <w:t xml:space="preserve">greement </w:t>
      </w:r>
      <w:r w:rsidRPr="00D72126">
        <w:rPr>
          <w:rFonts w:ascii="Arial" w:eastAsia="Times New Roman" w:hAnsi="Arial" w:cs="Arial"/>
          <w:lang w:eastAsia="en-GB"/>
        </w:rPr>
        <w:t xml:space="preserve">(see </w:t>
      </w:r>
      <w:hyperlink w:anchor="_Appendix_3:_Data" w:history="1">
        <w:r w:rsidRPr="00D72126">
          <w:rPr>
            <w:rStyle w:val="Hyperlink"/>
            <w:rFonts w:ascii="Arial" w:eastAsia="Times New Roman" w:hAnsi="Arial" w:cs="Arial"/>
            <w:lang w:eastAsia="en-GB"/>
          </w:rPr>
          <w:t>Appendix 3</w:t>
        </w:r>
      </w:hyperlink>
      <w:r w:rsidRPr="00D72126">
        <w:rPr>
          <w:rFonts w:ascii="Arial" w:eastAsia="Times New Roman" w:hAnsi="Arial" w:cs="Arial"/>
          <w:lang w:eastAsia="en-GB"/>
        </w:rPr>
        <w:t>)</w:t>
      </w:r>
      <w:r w:rsidRPr="00D72126">
        <w:rPr>
          <w:rFonts w:ascii="Arial" w:hAnsi="Arial" w:cs="Arial"/>
        </w:rPr>
        <w:t xml:space="preserve">. </w:t>
      </w:r>
      <w:r w:rsidRPr="00D72126">
        <w:rPr>
          <w:rFonts w:ascii="Arial" w:eastAsia="Times New Roman" w:hAnsi="Arial" w:cs="Arial"/>
          <w:lang w:eastAsia="en-GB"/>
        </w:rPr>
        <w:t xml:space="preserve">Upon receipt </w:t>
      </w:r>
      <w:r w:rsidR="002E78A9" w:rsidRPr="00D72126">
        <w:rPr>
          <w:rFonts w:ascii="Arial" w:eastAsia="Times New Roman" w:hAnsi="Arial" w:cs="Arial"/>
          <w:lang w:eastAsia="en-GB"/>
        </w:rPr>
        <w:t xml:space="preserve">of </w:t>
      </w:r>
      <w:r w:rsidRPr="00D72126">
        <w:rPr>
          <w:rFonts w:ascii="Arial" w:eastAsia="Times New Roman" w:hAnsi="Arial" w:cs="Arial"/>
          <w:lang w:eastAsia="en-GB"/>
        </w:rPr>
        <w:t>the signed agreement, a user account will be created for the requestor to access the relevant data</w:t>
      </w:r>
      <w:r w:rsidR="002E78A9" w:rsidRPr="00D72126">
        <w:rPr>
          <w:rFonts w:ascii="Arial" w:eastAsia="Times New Roman" w:hAnsi="Arial" w:cs="Arial"/>
          <w:lang w:eastAsia="en-GB"/>
        </w:rPr>
        <w:t xml:space="preserve"> or, access to an analyst who will provide the requested information</w:t>
      </w:r>
      <w:r w:rsidRPr="00D72126">
        <w:rPr>
          <w:rFonts w:ascii="Arial" w:eastAsia="Times New Roman" w:hAnsi="Arial" w:cs="Arial"/>
          <w:lang w:eastAsia="en-GB"/>
        </w:rPr>
        <w:t xml:space="preserve">.  The response to Requestors whose applications do not meet the eligibility requirements, or which are judged to pose a risk of harm will include an explanation of the decision from the </w:t>
      </w:r>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w:t>
      </w:r>
    </w:p>
    <w:p w14:paraId="4520F8C3" w14:textId="4566CD8F" w:rsidR="005F5311" w:rsidRPr="00FC002B" w:rsidRDefault="005F5311" w:rsidP="00FC002B">
      <w:pPr>
        <w:pStyle w:val="ListParagraph"/>
        <w:numPr>
          <w:ilvl w:val="0"/>
          <w:numId w:val="15"/>
        </w:numPr>
        <w:rPr>
          <w:rFonts w:ascii="Arial" w:hAnsi="Arial" w:cs="Arial"/>
          <w:sz w:val="24"/>
          <w:szCs w:val="24"/>
        </w:rPr>
      </w:pPr>
      <w:r w:rsidRPr="00FC002B">
        <w:rPr>
          <w:rFonts w:ascii="Arial" w:hAnsi="Arial" w:cs="Arial"/>
          <w:sz w:val="24"/>
          <w:szCs w:val="24"/>
        </w:rPr>
        <w:t>Reject</w:t>
      </w:r>
      <w:r w:rsidR="00852AC2" w:rsidRPr="00FC002B">
        <w:rPr>
          <w:rFonts w:ascii="Arial" w:hAnsi="Arial" w:cs="Arial"/>
          <w:sz w:val="24"/>
          <w:szCs w:val="24"/>
        </w:rPr>
        <w:t>ed Applications/Appeals Process</w:t>
      </w:r>
    </w:p>
    <w:p w14:paraId="7886D499" w14:textId="0A7EBEAF" w:rsidR="00852AC2" w:rsidRPr="00D72126" w:rsidRDefault="00240A4B" w:rsidP="00240A4B">
      <w:pPr>
        <w:spacing w:after="240" w:line="240" w:lineRule="auto"/>
        <w:jc w:val="both"/>
        <w:rPr>
          <w:rFonts w:ascii="Arial" w:eastAsia="Times New Roman" w:hAnsi="Arial" w:cs="Arial"/>
          <w:lang w:eastAsia="en-GB"/>
        </w:rPr>
      </w:pPr>
      <w:r w:rsidRPr="00D72126">
        <w:rPr>
          <w:rFonts w:ascii="Arial" w:eastAsia="Times New Roman" w:hAnsi="Arial" w:cs="Arial"/>
          <w:lang w:eastAsia="en-GB"/>
        </w:rPr>
        <w:t xml:space="preserve">Requestors who have had their project applications rejected may resubmit an application if amended with revisions which address the findings or feedback of the </w:t>
      </w:r>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If the </w:t>
      </w:r>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w:t>
      </w:r>
      <w:r w:rsidR="002E78A9" w:rsidRPr="00D72126">
        <w:rPr>
          <w:rFonts w:ascii="Arial" w:eastAsia="Times New Roman" w:hAnsi="Arial" w:cs="Arial"/>
          <w:lang w:eastAsia="en-GB"/>
        </w:rPr>
        <w:t>rejects</w:t>
      </w:r>
      <w:r w:rsidRPr="00D72126">
        <w:rPr>
          <w:rFonts w:ascii="Arial" w:eastAsia="Times New Roman" w:hAnsi="Arial" w:cs="Arial"/>
          <w:lang w:eastAsia="en-GB"/>
        </w:rPr>
        <w:t xml:space="preserve"> the application a second time, a final review can be requested from the Discover Steering Committee. The </w:t>
      </w:r>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will advise applicants of the timeline for a final review and the decision of the Steering Committee will be final. </w:t>
      </w:r>
    </w:p>
    <w:p w14:paraId="4CBF4E0B" w14:textId="03CCAB5C" w:rsidR="00AA691B" w:rsidRPr="00FC002B" w:rsidRDefault="00D13E57" w:rsidP="00FC002B">
      <w:pPr>
        <w:pStyle w:val="ListParagraph"/>
        <w:numPr>
          <w:ilvl w:val="0"/>
          <w:numId w:val="15"/>
        </w:numPr>
        <w:rPr>
          <w:rFonts w:ascii="Arial" w:hAnsi="Arial" w:cs="Arial"/>
          <w:sz w:val="24"/>
          <w:szCs w:val="24"/>
        </w:rPr>
      </w:pPr>
      <w:r w:rsidRPr="00FC002B">
        <w:rPr>
          <w:rFonts w:ascii="Arial" w:hAnsi="Arial" w:cs="Arial"/>
          <w:sz w:val="24"/>
          <w:szCs w:val="24"/>
        </w:rPr>
        <w:t>Documents Revisions</w:t>
      </w:r>
    </w:p>
    <w:p w14:paraId="14DF579C" w14:textId="4D2B6529" w:rsidR="0067489B" w:rsidRDefault="00240A4B">
      <w:pPr>
        <w:rPr>
          <w:rFonts w:ascii="Arial" w:eastAsia="Times New Roman" w:hAnsi="Arial" w:cs="Arial"/>
          <w:lang w:eastAsia="en-GB"/>
        </w:rPr>
      </w:pPr>
      <w:r w:rsidRPr="00D72126">
        <w:rPr>
          <w:rFonts w:ascii="Arial" w:eastAsia="Times New Roman" w:hAnsi="Arial" w:cs="Arial"/>
          <w:lang w:eastAsia="en-GB"/>
        </w:rPr>
        <w:t xml:space="preserve">Substantial revisions to the Data Access Guidelines must be agreed by the </w:t>
      </w:r>
      <w:r w:rsidR="00DB0A2E">
        <w:rPr>
          <w:rFonts w:ascii="Arial" w:eastAsia="Times New Roman" w:hAnsi="Arial" w:cs="Arial"/>
          <w:lang w:eastAsia="en-GB"/>
        </w:rPr>
        <w:t>NWL Research Access Committee</w:t>
      </w:r>
      <w:r w:rsidRPr="00D72126">
        <w:rPr>
          <w:rFonts w:ascii="Arial" w:eastAsia="Times New Roman" w:hAnsi="Arial" w:cs="Arial"/>
          <w:lang w:eastAsia="en-GB"/>
        </w:rPr>
        <w:t xml:space="preserve">. </w:t>
      </w:r>
    </w:p>
    <w:p w14:paraId="7FE4C3C9" w14:textId="77777777" w:rsidR="0067489B" w:rsidRDefault="0067489B">
      <w:pPr>
        <w:rPr>
          <w:rFonts w:ascii="Arial" w:eastAsia="Times New Roman" w:hAnsi="Arial" w:cs="Arial"/>
          <w:lang w:eastAsia="en-GB"/>
        </w:rPr>
      </w:pPr>
      <w:r>
        <w:rPr>
          <w:rFonts w:ascii="Arial" w:eastAsia="Times New Roman" w:hAnsi="Arial" w:cs="Arial"/>
          <w:lang w:eastAsia="en-GB"/>
        </w:rPr>
        <w:br w:type="page"/>
      </w:r>
    </w:p>
    <w:p w14:paraId="50622263" w14:textId="77777777" w:rsidR="00537498" w:rsidRDefault="00537498">
      <w:pPr>
        <w:rPr>
          <w:rFonts w:ascii="Arial" w:eastAsia="Times New Roman" w:hAnsi="Arial" w:cs="Arial"/>
          <w:lang w:eastAsia="en-GB"/>
        </w:rPr>
      </w:pPr>
    </w:p>
    <w:p w14:paraId="0FF04429" w14:textId="77777777" w:rsidR="000B1B8A" w:rsidRDefault="000B1B8A">
      <w:pPr>
        <w:rPr>
          <w:rFonts w:ascii="Arial" w:hAnsi="Arial" w:cs="Arial"/>
          <w:sz w:val="24"/>
          <w:szCs w:val="24"/>
        </w:rPr>
      </w:pPr>
      <w:bookmarkStart w:id="9" w:name="_Appendix_1:_Application"/>
      <w:bookmarkStart w:id="10" w:name="_Hlk509914961"/>
      <w:bookmarkEnd w:id="9"/>
    </w:p>
    <w:p w14:paraId="5B33C350" w14:textId="4880CAC8" w:rsidR="000B297C" w:rsidRPr="007128DB" w:rsidRDefault="00537588">
      <w:pPr>
        <w:rPr>
          <w:rFonts w:ascii="Arial" w:eastAsia="Times New Roman" w:hAnsi="Arial" w:cs="Arial"/>
          <w:lang w:eastAsia="en-GB"/>
        </w:rPr>
      </w:pPr>
      <w:r w:rsidRPr="00CC0164">
        <w:rPr>
          <w:rFonts w:ascii="Arial" w:hAnsi="Arial" w:cs="Arial"/>
          <w:sz w:val="24"/>
          <w:szCs w:val="24"/>
        </w:rPr>
        <w:t xml:space="preserve"> </w:t>
      </w:r>
      <w:r w:rsidR="00AA691B" w:rsidRPr="00CC0164">
        <w:rPr>
          <w:rFonts w:ascii="Arial" w:hAnsi="Arial" w:cs="Arial"/>
          <w:sz w:val="24"/>
          <w:szCs w:val="24"/>
        </w:rPr>
        <w:t>Appendix 1: Application Review Checklist</w:t>
      </w:r>
    </w:p>
    <w:p w14:paraId="73941D14" w14:textId="25FA7495" w:rsidR="00240A4B" w:rsidRPr="007128DB" w:rsidRDefault="00240A4B" w:rsidP="00240A4B">
      <w:pPr>
        <w:pStyle w:val="ListParagraph"/>
        <w:numPr>
          <w:ilvl w:val="0"/>
          <w:numId w:val="6"/>
        </w:numPr>
        <w:spacing w:line="360" w:lineRule="auto"/>
        <w:jc w:val="both"/>
        <w:rPr>
          <w:rFonts w:ascii="Arial" w:eastAsia="Times New Roman" w:hAnsi="Arial" w:cs="Arial"/>
          <w:lang w:eastAsia="en-GB"/>
        </w:rPr>
      </w:pPr>
      <w:r w:rsidRPr="007128DB">
        <w:rPr>
          <w:rFonts w:ascii="Arial" w:eastAsia="Times New Roman" w:hAnsi="Arial" w:cs="Arial"/>
          <w:lang w:eastAsia="en-GB"/>
        </w:rPr>
        <w:t>All sections of the application form that are mandatory have been completed.</w:t>
      </w:r>
    </w:p>
    <w:p w14:paraId="142C7298" w14:textId="16B8BCEC" w:rsidR="00240A4B" w:rsidRPr="007128DB" w:rsidRDefault="00240A4B" w:rsidP="00240A4B">
      <w:pPr>
        <w:pStyle w:val="ListParagraph"/>
        <w:numPr>
          <w:ilvl w:val="0"/>
          <w:numId w:val="6"/>
        </w:numPr>
        <w:spacing w:line="360" w:lineRule="auto"/>
        <w:jc w:val="both"/>
        <w:rPr>
          <w:rFonts w:ascii="Arial" w:hAnsi="Arial" w:cs="Arial"/>
        </w:rPr>
      </w:pPr>
      <w:r w:rsidRPr="007128DB">
        <w:rPr>
          <w:rFonts w:ascii="Arial" w:eastAsia="Times New Roman" w:hAnsi="Arial" w:cs="Arial"/>
          <w:lang w:eastAsia="en-GB"/>
        </w:rPr>
        <w:t xml:space="preserve">The </w:t>
      </w:r>
      <w:r w:rsidRPr="00A5742C">
        <w:rPr>
          <w:rFonts w:ascii="Arial" w:eastAsia="Times New Roman" w:hAnsi="Arial" w:cs="Arial"/>
          <w:lang w:eastAsia="en-GB"/>
        </w:rPr>
        <w:t xml:space="preserve">applicant </w:t>
      </w:r>
      <w:r w:rsidR="00A517BB" w:rsidRPr="00A5742C">
        <w:rPr>
          <w:rFonts w:ascii="Arial" w:eastAsia="Times New Roman" w:hAnsi="Arial" w:cs="Arial"/>
          <w:lang w:eastAsia="en-GB"/>
        </w:rPr>
        <w:t xml:space="preserve">is </w:t>
      </w:r>
      <w:r w:rsidR="00A517BB" w:rsidRPr="00DE5CE5">
        <w:rPr>
          <w:rFonts w:ascii="Arial" w:eastAsia="Times New Roman" w:hAnsi="Arial" w:cs="Arial"/>
          <w:lang w:eastAsia="en-GB"/>
        </w:rPr>
        <w:t xml:space="preserve">substantively employed by </w:t>
      </w:r>
      <w:r w:rsidR="003737FC" w:rsidRPr="00DE5CE5">
        <w:rPr>
          <w:rFonts w:ascii="Arial" w:eastAsia="Times New Roman" w:hAnsi="Arial" w:cs="Arial"/>
          <w:lang w:eastAsia="en-GB"/>
        </w:rPr>
        <w:t>an</w:t>
      </w:r>
      <w:r w:rsidR="00A517BB" w:rsidRPr="00DE5CE5">
        <w:rPr>
          <w:rFonts w:ascii="Arial" w:eastAsia="Times New Roman" w:hAnsi="Arial" w:cs="Arial"/>
          <w:lang w:eastAsia="en-GB"/>
        </w:rPr>
        <w:t xml:space="preserve"> NWL Information Sharing Agreement organisation</w:t>
      </w:r>
      <w:r w:rsidR="00A517BB" w:rsidRPr="00A5742C">
        <w:rPr>
          <w:rFonts w:ascii="Arial" w:eastAsia="Times New Roman" w:hAnsi="Arial" w:cs="Arial"/>
          <w:lang w:eastAsia="en-GB"/>
        </w:rPr>
        <w:t xml:space="preserve"> [note a</w:t>
      </w:r>
      <w:r w:rsidR="00A517BB" w:rsidRPr="007128DB">
        <w:rPr>
          <w:rFonts w:ascii="Arial" w:eastAsia="Times New Roman" w:hAnsi="Arial" w:cs="Arial"/>
          <w:lang w:eastAsia="en-GB"/>
        </w:rPr>
        <w:t xml:space="preserve"> list of ISA signatory organisations is already available on the website]</w:t>
      </w:r>
    </w:p>
    <w:p w14:paraId="0834DB1B" w14:textId="77777777" w:rsidR="00240A4B" w:rsidRPr="007128DB" w:rsidRDefault="00240A4B" w:rsidP="00240A4B">
      <w:pPr>
        <w:pStyle w:val="ListParagraph"/>
        <w:numPr>
          <w:ilvl w:val="0"/>
          <w:numId w:val="6"/>
        </w:numPr>
        <w:spacing w:line="360" w:lineRule="auto"/>
        <w:jc w:val="both"/>
        <w:rPr>
          <w:rFonts w:ascii="Arial" w:hAnsi="Arial" w:cs="Arial"/>
        </w:rPr>
      </w:pPr>
      <w:r w:rsidRPr="007128DB">
        <w:rPr>
          <w:rFonts w:ascii="Arial" w:hAnsi="Arial" w:cs="Arial"/>
        </w:rPr>
        <w:t xml:space="preserve">The applicant attests sufficient funding and resource are in place to carry out the project proposed. </w:t>
      </w:r>
    </w:p>
    <w:p w14:paraId="6EC662E3" w14:textId="77777777" w:rsidR="00240A4B" w:rsidRPr="007128DB" w:rsidRDefault="00240A4B" w:rsidP="00240A4B">
      <w:pPr>
        <w:pStyle w:val="ListParagraph"/>
        <w:numPr>
          <w:ilvl w:val="0"/>
          <w:numId w:val="6"/>
        </w:numPr>
        <w:spacing w:line="360" w:lineRule="auto"/>
        <w:jc w:val="both"/>
        <w:rPr>
          <w:rFonts w:ascii="Arial" w:hAnsi="Arial" w:cs="Arial"/>
        </w:rPr>
      </w:pPr>
      <w:r w:rsidRPr="007128DB">
        <w:rPr>
          <w:rFonts w:ascii="Arial" w:hAnsi="Arial" w:cs="Arial"/>
        </w:rPr>
        <w:t>The applicant attests and provides evidence they are suitably qualified and trained to carry out the project proposed.</w:t>
      </w:r>
    </w:p>
    <w:p w14:paraId="4BCC94A0" w14:textId="77777777" w:rsidR="00240A4B" w:rsidRPr="007128DB" w:rsidRDefault="00240A4B" w:rsidP="00240A4B">
      <w:pPr>
        <w:pStyle w:val="ListParagraph"/>
        <w:numPr>
          <w:ilvl w:val="0"/>
          <w:numId w:val="6"/>
        </w:numPr>
        <w:spacing w:line="360" w:lineRule="auto"/>
        <w:jc w:val="both"/>
        <w:rPr>
          <w:rFonts w:ascii="Arial" w:eastAsia="Times New Roman" w:hAnsi="Arial" w:cs="Arial"/>
          <w:lang w:eastAsia="en-GB"/>
        </w:rPr>
      </w:pPr>
      <w:r w:rsidRPr="007128DB">
        <w:rPr>
          <w:rFonts w:ascii="Arial" w:eastAsia="Times New Roman" w:hAnsi="Arial" w:cs="Arial"/>
          <w:lang w:eastAsia="en-GB"/>
        </w:rPr>
        <w:t>Any conflicts of interest declared by the applicant have been reviewed.</w:t>
      </w:r>
    </w:p>
    <w:p w14:paraId="026EA934" w14:textId="77777777" w:rsidR="00240A4B" w:rsidRPr="007128DB" w:rsidRDefault="00240A4B" w:rsidP="00240A4B">
      <w:pPr>
        <w:pStyle w:val="ListParagraph"/>
        <w:numPr>
          <w:ilvl w:val="0"/>
          <w:numId w:val="6"/>
        </w:numPr>
        <w:spacing w:line="360" w:lineRule="auto"/>
        <w:jc w:val="both"/>
        <w:rPr>
          <w:rFonts w:ascii="Arial" w:eastAsia="Times New Roman" w:hAnsi="Arial" w:cs="Arial"/>
          <w:lang w:eastAsia="en-GB"/>
        </w:rPr>
      </w:pPr>
      <w:r w:rsidRPr="007128DB">
        <w:rPr>
          <w:rFonts w:ascii="Arial" w:eastAsia="Times New Roman" w:hAnsi="Arial" w:cs="Arial"/>
          <w:lang w:eastAsia="en-GB"/>
        </w:rPr>
        <w:t xml:space="preserve">The applicant has the required approvals for their project in place and evidenced these in their application. </w:t>
      </w:r>
    </w:p>
    <w:p w14:paraId="32DCF503" w14:textId="05418FB1" w:rsidR="00537498" w:rsidRPr="00537498" w:rsidRDefault="00240A4B" w:rsidP="00537498">
      <w:pPr>
        <w:pStyle w:val="ListParagraph"/>
        <w:numPr>
          <w:ilvl w:val="0"/>
          <w:numId w:val="6"/>
        </w:numPr>
        <w:spacing w:line="360" w:lineRule="auto"/>
        <w:jc w:val="both"/>
        <w:rPr>
          <w:rFonts w:ascii="Arial" w:eastAsia="Times New Roman" w:hAnsi="Arial" w:cs="Arial"/>
          <w:lang w:eastAsia="en-GB"/>
        </w:rPr>
      </w:pPr>
      <w:r w:rsidRPr="007128DB">
        <w:rPr>
          <w:rFonts w:ascii="Arial" w:hAnsi="Arial" w:cs="Arial"/>
        </w:rPr>
        <w:t>The application is scientifically sound with adequate methodology to answer the principle research question</w:t>
      </w:r>
      <w:r w:rsidR="00537498">
        <w:rPr>
          <w:rFonts w:ascii="Arial" w:hAnsi="Arial" w:cs="Arial"/>
        </w:rPr>
        <w:t>.</w:t>
      </w:r>
    </w:p>
    <w:p w14:paraId="14345111" w14:textId="1339FE49" w:rsidR="00240A4B" w:rsidRPr="00F9330A" w:rsidRDefault="00240A4B" w:rsidP="00A517BB">
      <w:pPr>
        <w:pStyle w:val="ListParagraph"/>
        <w:numPr>
          <w:ilvl w:val="0"/>
          <w:numId w:val="6"/>
        </w:numPr>
        <w:spacing w:line="360" w:lineRule="auto"/>
        <w:jc w:val="both"/>
        <w:rPr>
          <w:rFonts w:ascii="Arial" w:hAnsi="Arial" w:cs="Arial"/>
        </w:rPr>
      </w:pPr>
      <w:r w:rsidRPr="007128DB">
        <w:rPr>
          <w:rFonts w:ascii="Arial" w:eastAsia="Times New Roman" w:hAnsi="Arial" w:cs="Arial"/>
          <w:lang w:eastAsia="en-GB"/>
        </w:rPr>
        <w:t xml:space="preserve">The application addresses </w:t>
      </w:r>
      <w:r w:rsidRPr="007128DB">
        <w:rPr>
          <w:rFonts w:ascii="Arial" w:hAnsi="Arial" w:cs="Arial"/>
        </w:rPr>
        <w:t xml:space="preserve">a knowledge gap of value or potential value to the scientific community, health and care sector, and/or to wider public health. The populations and </w:t>
      </w:r>
      <w:r w:rsidRPr="00F9330A">
        <w:rPr>
          <w:rFonts w:ascii="Arial" w:hAnsi="Arial" w:cs="Arial"/>
        </w:rPr>
        <w:t xml:space="preserve">requested data is appropriate for the project. </w:t>
      </w:r>
    </w:p>
    <w:p w14:paraId="3616B784" w14:textId="35BBEE50" w:rsidR="00240A4B" w:rsidRPr="00DE5CE5" w:rsidRDefault="00A517BB" w:rsidP="00A517BB">
      <w:pPr>
        <w:pStyle w:val="ListParagraph"/>
        <w:numPr>
          <w:ilvl w:val="0"/>
          <w:numId w:val="6"/>
        </w:numPr>
        <w:spacing w:after="0" w:line="240" w:lineRule="auto"/>
        <w:contextualSpacing w:val="0"/>
        <w:rPr>
          <w:rFonts w:ascii="Arial" w:eastAsia="Times New Roman" w:hAnsi="Arial" w:cs="Arial"/>
        </w:rPr>
      </w:pPr>
      <w:r w:rsidRPr="00F9330A">
        <w:rPr>
          <w:rFonts w:ascii="Arial" w:hAnsi="Arial" w:cs="Arial"/>
        </w:rPr>
        <w:t xml:space="preserve">The publication/dissemination plan is appropriate for the project </w:t>
      </w:r>
      <w:r w:rsidRPr="00DE5CE5">
        <w:rPr>
          <w:rFonts w:ascii="Arial" w:eastAsia="Times New Roman" w:hAnsi="Arial" w:cs="Arial"/>
        </w:rPr>
        <w:t>and there is agreement to reference</w:t>
      </w:r>
      <w:r w:rsidR="00A5742C" w:rsidRPr="00DE5CE5">
        <w:rPr>
          <w:rFonts w:ascii="Arial" w:eastAsia="Times New Roman" w:hAnsi="Arial" w:cs="Arial"/>
        </w:rPr>
        <w:t xml:space="preserve"> Discover</w:t>
      </w:r>
      <w:r w:rsidR="00F9330A" w:rsidRPr="00DE5CE5">
        <w:rPr>
          <w:rFonts w:ascii="Arial" w:eastAsia="Times New Roman" w:hAnsi="Arial" w:cs="Arial"/>
        </w:rPr>
        <w:t xml:space="preserve"> Dataset</w:t>
      </w:r>
      <w:r w:rsidR="00A5742C" w:rsidRPr="00DE5CE5">
        <w:rPr>
          <w:rFonts w:ascii="Arial" w:eastAsia="Times New Roman" w:hAnsi="Arial" w:cs="Arial"/>
        </w:rPr>
        <w:t xml:space="preserve"> and </w:t>
      </w:r>
      <w:r w:rsidR="005B4EDB">
        <w:rPr>
          <w:rFonts w:ascii="Arial" w:eastAsia="Times New Roman" w:hAnsi="Arial" w:cs="Arial"/>
        </w:rPr>
        <w:t xml:space="preserve">the </w:t>
      </w:r>
      <w:r w:rsidRPr="00DE5CE5">
        <w:rPr>
          <w:rFonts w:ascii="Arial" w:eastAsia="Times New Roman" w:hAnsi="Arial" w:cs="Arial"/>
        </w:rPr>
        <w:t>Discover</w:t>
      </w:r>
      <w:r w:rsidR="00A5742C" w:rsidRPr="00DE5CE5">
        <w:rPr>
          <w:rFonts w:ascii="Arial" w:eastAsia="Times New Roman" w:hAnsi="Arial" w:cs="Arial"/>
        </w:rPr>
        <w:t>-NOW</w:t>
      </w:r>
      <w:r w:rsidRPr="00DE5CE5">
        <w:rPr>
          <w:rFonts w:ascii="Arial" w:eastAsia="Times New Roman" w:hAnsi="Arial" w:cs="Arial"/>
        </w:rPr>
        <w:t xml:space="preserve"> </w:t>
      </w:r>
      <w:r w:rsidR="00F9330A" w:rsidRPr="00DE5CE5">
        <w:rPr>
          <w:rFonts w:ascii="Arial" w:eastAsia="Times New Roman" w:hAnsi="Arial" w:cs="Arial"/>
        </w:rPr>
        <w:t xml:space="preserve">Hub </w:t>
      </w:r>
      <w:r w:rsidRPr="00DE5CE5">
        <w:rPr>
          <w:rFonts w:ascii="Arial" w:eastAsia="Times New Roman" w:hAnsi="Arial" w:cs="Arial"/>
        </w:rPr>
        <w:t>on any subsequently publications and outputs.</w:t>
      </w:r>
    </w:p>
    <w:p w14:paraId="1AD06961" w14:textId="77777777" w:rsidR="00A517BB" w:rsidRPr="007128DB" w:rsidRDefault="00A517BB" w:rsidP="00A517BB">
      <w:pPr>
        <w:pStyle w:val="ListParagraph"/>
        <w:spacing w:after="0" w:line="240" w:lineRule="auto"/>
        <w:contextualSpacing w:val="0"/>
        <w:rPr>
          <w:rFonts w:ascii="Arial" w:eastAsia="Times New Roman" w:hAnsi="Arial" w:cs="Arial"/>
          <w:highlight w:val="yellow"/>
        </w:rPr>
      </w:pPr>
    </w:p>
    <w:p w14:paraId="2C293BB4" w14:textId="561C29FC" w:rsidR="00AA691B" w:rsidRPr="00C17EDA" w:rsidRDefault="00240A4B" w:rsidP="002E78A9">
      <w:pPr>
        <w:pStyle w:val="ListParagraph"/>
        <w:numPr>
          <w:ilvl w:val="0"/>
          <w:numId w:val="6"/>
        </w:numPr>
        <w:spacing w:line="360" w:lineRule="auto"/>
        <w:jc w:val="both"/>
        <w:rPr>
          <w:rFonts w:ascii="Arial" w:hAnsi="Arial" w:cs="Arial"/>
        </w:rPr>
      </w:pPr>
      <w:r w:rsidRPr="007128DB">
        <w:rPr>
          <w:rFonts w:ascii="Arial" w:hAnsi="Arial" w:cs="Arial"/>
        </w:rPr>
        <w:t xml:space="preserve">The applicant acknowledges they have read the ‘Data Access Agreement’ and should their application be approved they will abide by its terms and understand their </w:t>
      </w:r>
      <w:r w:rsidRPr="00C17EDA">
        <w:rPr>
          <w:rFonts w:ascii="Arial" w:hAnsi="Arial" w:cs="Arial"/>
        </w:rPr>
        <w:t xml:space="preserve">responsibilities as part of entering the agreement. </w:t>
      </w:r>
      <w:bookmarkStart w:id="11" w:name="_Appendix_2:_DRAG"/>
      <w:bookmarkEnd w:id="10"/>
      <w:bookmarkEnd w:id="11"/>
    </w:p>
    <w:p w14:paraId="475A215B" w14:textId="19F3DE98" w:rsidR="00A5742C" w:rsidRPr="00DE5CE5" w:rsidRDefault="00A5742C" w:rsidP="00A5742C">
      <w:pPr>
        <w:pStyle w:val="ListParagraph"/>
        <w:numPr>
          <w:ilvl w:val="0"/>
          <w:numId w:val="6"/>
        </w:numPr>
        <w:spacing w:after="0" w:line="240" w:lineRule="auto"/>
        <w:contextualSpacing w:val="0"/>
        <w:rPr>
          <w:rFonts w:ascii="Arial" w:eastAsia="Times New Roman" w:hAnsi="Arial" w:cs="Arial"/>
        </w:rPr>
      </w:pPr>
      <w:r w:rsidRPr="00DE5CE5">
        <w:rPr>
          <w:rFonts w:ascii="Arial" w:eastAsia="Times New Roman" w:hAnsi="Arial" w:cs="Arial"/>
        </w:rPr>
        <w:t xml:space="preserve">Independent letter of support from the Data Controller [note: </w:t>
      </w:r>
      <w:r w:rsidR="000B1B8A">
        <w:rPr>
          <w:rFonts w:ascii="Arial" w:eastAsia="Times New Roman" w:hAnsi="Arial" w:cs="Arial"/>
        </w:rPr>
        <w:t>research director of division/head of department</w:t>
      </w:r>
      <w:r w:rsidRPr="00DE5CE5">
        <w:rPr>
          <w:rFonts w:ascii="Arial" w:eastAsia="Times New Roman" w:hAnsi="Arial" w:cs="Arial"/>
        </w:rPr>
        <w:t>]</w:t>
      </w:r>
      <w:r w:rsidR="000B1B8A">
        <w:rPr>
          <w:rFonts w:ascii="Arial" w:eastAsia="Times New Roman" w:hAnsi="Arial" w:cs="Arial"/>
        </w:rPr>
        <w:t>.</w:t>
      </w:r>
    </w:p>
    <w:p w14:paraId="44E42B27" w14:textId="2B31BB4C" w:rsidR="00AA691B" w:rsidRDefault="00AA691B" w:rsidP="00AA691B">
      <w:pPr>
        <w:pStyle w:val="ListParagraph"/>
        <w:rPr>
          <w:rFonts w:ascii="Arial" w:hAnsi="Arial" w:cs="Arial"/>
          <w:color w:val="00969E"/>
          <w:sz w:val="24"/>
          <w:szCs w:val="24"/>
        </w:rPr>
      </w:pPr>
    </w:p>
    <w:p w14:paraId="19E79976" w14:textId="77777777" w:rsidR="00C17EDA" w:rsidRDefault="00C17EDA" w:rsidP="00AA691B">
      <w:pPr>
        <w:pStyle w:val="ListParagraph"/>
        <w:rPr>
          <w:rFonts w:ascii="Arial" w:hAnsi="Arial" w:cs="Arial"/>
          <w:color w:val="00969E"/>
          <w:sz w:val="24"/>
          <w:szCs w:val="24"/>
        </w:rPr>
      </w:pPr>
    </w:p>
    <w:p w14:paraId="5F74D1F4" w14:textId="75CE6F65" w:rsidR="002E78A9" w:rsidRPr="00AA691B" w:rsidRDefault="000B1B8A" w:rsidP="00AA691B">
      <w:pPr>
        <w:pStyle w:val="Heading2"/>
        <w:spacing w:after="120"/>
        <w:rPr>
          <w:rFonts w:ascii="Arial" w:eastAsia="Times New Roman" w:hAnsi="Arial" w:cs="Arial"/>
          <w:sz w:val="22"/>
          <w:szCs w:val="22"/>
          <w:lang w:eastAsia="en-GB"/>
        </w:rPr>
      </w:pPr>
      <w:r>
        <w:rPr>
          <w:rFonts w:ascii="Arial" w:hAnsi="Arial" w:cs="Arial"/>
          <w:color w:val="00969E"/>
          <w:sz w:val="24"/>
          <w:szCs w:val="24"/>
        </w:rPr>
        <w:t>Download</w:t>
      </w:r>
      <w:r w:rsidR="00C17EDA">
        <w:rPr>
          <w:rFonts w:ascii="Arial" w:hAnsi="Arial" w:cs="Arial"/>
          <w:color w:val="00969E"/>
          <w:sz w:val="24"/>
          <w:szCs w:val="24"/>
        </w:rPr>
        <w:t xml:space="preserve"> the NWL Research Access Committee</w:t>
      </w:r>
      <w:r>
        <w:rPr>
          <w:rFonts w:ascii="Arial" w:hAnsi="Arial" w:cs="Arial"/>
          <w:color w:val="00969E"/>
          <w:sz w:val="24"/>
          <w:szCs w:val="24"/>
        </w:rPr>
        <w:t>’s</w:t>
      </w:r>
      <w:r w:rsidR="00C17EDA">
        <w:rPr>
          <w:rFonts w:ascii="Arial" w:hAnsi="Arial" w:cs="Arial"/>
          <w:color w:val="00969E"/>
          <w:sz w:val="24"/>
          <w:szCs w:val="24"/>
        </w:rPr>
        <w:t xml:space="preserve"> Terms of Reference and Data Access Management</w:t>
      </w:r>
      <w:r>
        <w:rPr>
          <w:rFonts w:ascii="Arial" w:hAnsi="Arial" w:cs="Arial"/>
          <w:color w:val="00969E"/>
          <w:sz w:val="24"/>
          <w:szCs w:val="24"/>
        </w:rPr>
        <w:t xml:space="preserve"> available online at </w:t>
      </w:r>
      <w:hyperlink r:id="rId20" w:history="1">
        <w:r w:rsidR="00C17EDA" w:rsidRPr="0048082B">
          <w:rPr>
            <w:rStyle w:val="Hyperlink"/>
            <w:rFonts w:ascii="Arial" w:hAnsi="Arial" w:cs="Arial"/>
            <w:sz w:val="24"/>
            <w:szCs w:val="24"/>
          </w:rPr>
          <w:t>https://www.registerfordiscover.org.uk/researchers/how-to-access-discover</w:t>
        </w:r>
      </w:hyperlink>
      <w:r>
        <w:rPr>
          <w:rFonts w:ascii="Arial" w:hAnsi="Arial" w:cs="Arial"/>
          <w:color w:val="00969E"/>
          <w:sz w:val="24"/>
          <w:szCs w:val="24"/>
        </w:rPr>
        <w:t>.</w:t>
      </w:r>
      <w:bookmarkStart w:id="12" w:name="_Appendix_3:_Data"/>
      <w:bookmarkEnd w:id="12"/>
    </w:p>
    <w:sectPr w:rsidR="002E78A9" w:rsidRPr="00AA691B" w:rsidSect="00DB6558">
      <w:pgSz w:w="11906" w:h="16838"/>
      <w:pgMar w:top="1134" w:right="1440" w:bottom="1134" w:left="1440"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4AA17" w14:textId="77777777" w:rsidR="002A0420" w:rsidRDefault="002A0420" w:rsidP="00240A4B">
      <w:pPr>
        <w:spacing w:after="0" w:line="240" w:lineRule="auto"/>
      </w:pPr>
      <w:r>
        <w:separator/>
      </w:r>
    </w:p>
  </w:endnote>
  <w:endnote w:type="continuationSeparator" w:id="0">
    <w:p w14:paraId="1544AB37" w14:textId="77777777" w:rsidR="002A0420" w:rsidRDefault="002A0420" w:rsidP="0024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0BA1C" w14:textId="17BBC387" w:rsidR="008A643B" w:rsidRPr="00414C38" w:rsidRDefault="00AD0AD5" w:rsidP="00B36C46">
    <w:pPr>
      <w:pStyle w:val="Footer"/>
      <w:pBdr>
        <w:top w:val="single" w:sz="4" w:space="1" w:color="D9D9D9" w:themeColor="background1" w:themeShade="D9"/>
      </w:pBdr>
      <w:rPr>
        <w:rFonts w:ascii="Arial" w:hAnsi="Arial" w:cs="Arial"/>
        <w:sz w:val="20"/>
      </w:rPr>
    </w:pPr>
    <w:r w:rsidRPr="00414C38">
      <w:rPr>
        <w:rFonts w:ascii="Arial" w:hAnsi="Arial" w:cs="Arial"/>
        <w:sz w:val="20"/>
      </w:rPr>
      <w:t>Discover Data Access Guidelines</w:t>
    </w:r>
    <w:r w:rsidRPr="00414C38">
      <w:rPr>
        <w:rFonts w:ascii="Arial" w:hAnsi="Arial" w:cs="Arial"/>
      </w:rPr>
      <w:tab/>
    </w:r>
    <w:r w:rsidRPr="00414C38">
      <w:rPr>
        <w:rFonts w:ascii="Arial" w:hAnsi="Arial" w:cs="Arial"/>
      </w:rPr>
      <w:tab/>
    </w:r>
    <w:sdt>
      <w:sdtPr>
        <w:rPr>
          <w:rFonts w:ascii="Arial" w:hAnsi="Arial" w:cs="Arial"/>
        </w:rPr>
        <w:id w:val="-1680350174"/>
        <w:docPartObj>
          <w:docPartGallery w:val="Page Numbers (Bottom of Page)"/>
          <w:docPartUnique/>
        </w:docPartObj>
      </w:sdtPr>
      <w:sdtEndPr>
        <w:rPr>
          <w:color w:val="7F7F7F" w:themeColor="background1" w:themeShade="7F"/>
          <w:spacing w:val="60"/>
          <w:sz w:val="20"/>
        </w:rPr>
      </w:sdtEndPr>
      <w:sdtContent>
        <w:r w:rsidR="0059400B" w:rsidRPr="00414C38">
          <w:rPr>
            <w:rFonts w:ascii="Arial" w:hAnsi="Arial" w:cs="Arial"/>
            <w:sz w:val="20"/>
          </w:rPr>
          <w:fldChar w:fldCharType="begin"/>
        </w:r>
        <w:r w:rsidRPr="00414C38">
          <w:rPr>
            <w:rFonts w:ascii="Arial" w:hAnsi="Arial" w:cs="Arial"/>
            <w:sz w:val="20"/>
          </w:rPr>
          <w:instrText xml:space="preserve"> PAGE   \* MERGEFORMAT </w:instrText>
        </w:r>
        <w:r w:rsidR="0059400B" w:rsidRPr="00414C38">
          <w:rPr>
            <w:rFonts w:ascii="Arial" w:hAnsi="Arial" w:cs="Arial"/>
            <w:sz w:val="20"/>
          </w:rPr>
          <w:fldChar w:fldCharType="separate"/>
        </w:r>
        <w:r w:rsidR="00A01511">
          <w:rPr>
            <w:rFonts w:ascii="Arial" w:hAnsi="Arial" w:cs="Arial"/>
            <w:noProof/>
            <w:sz w:val="20"/>
          </w:rPr>
          <w:t>6</w:t>
        </w:r>
        <w:r w:rsidR="0059400B" w:rsidRPr="00414C38">
          <w:rPr>
            <w:rFonts w:ascii="Arial" w:hAnsi="Arial" w:cs="Arial"/>
            <w:noProof/>
            <w:sz w:val="20"/>
          </w:rPr>
          <w:fldChar w:fldCharType="end"/>
        </w:r>
        <w:r w:rsidRPr="00414C38">
          <w:rPr>
            <w:rFonts w:ascii="Arial" w:hAnsi="Arial" w:cs="Arial"/>
            <w:sz w:val="20"/>
          </w:rPr>
          <w:t xml:space="preserve"> | </w:t>
        </w:r>
        <w:r w:rsidRPr="00414C38">
          <w:rPr>
            <w:rFonts w:ascii="Arial" w:hAnsi="Arial" w:cs="Arial"/>
            <w:color w:val="7F7F7F" w:themeColor="background1" w:themeShade="7F"/>
            <w:spacing w:val="60"/>
            <w:sz w:val="20"/>
          </w:rPr>
          <w:t>Page</w:t>
        </w:r>
      </w:sdtContent>
    </w:sdt>
  </w:p>
  <w:p w14:paraId="5520B157" w14:textId="77777777" w:rsidR="008A643B" w:rsidRDefault="002A0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E7D2E" w14:textId="77777777" w:rsidR="002A0420" w:rsidRDefault="002A0420" w:rsidP="00240A4B">
      <w:pPr>
        <w:spacing w:after="0" w:line="240" w:lineRule="auto"/>
      </w:pPr>
      <w:r>
        <w:separator/>
      </w:r>
    </w:p>
  </w:footnote>
  <w:footnote w:type="continuationSeparator" w:id="0">
    <w:p w14:paraId="2536771C" w14:textId="77777777" w:rsidR="002A0420" w:rsidRDefault="002A0420" w:rsidP="00240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B0D9" w14:textId="75C71948" w:rsidR="00EA2BD4" w:rsidRDefault="001B6EC1">
    <w:pPr>
      <w:pStyle w:val="Header"/>
    </w:pPr>
    <w:r w:rsidRPr="00B52837">
      <w:rPr>
        <w:rFonts w:eastAsia="Calibri" w:cstheme="minorHAnsi"/>
        <w:b/>
        <w:noProof/>
        <w:lang w:eastAsia="en-GB"/>
      </w:rPr>
      <w:drawing>
        <wp:anchor distT="0" distB="0" distL="114300" distR="114300" simplePos="0" relativeHeight="251665408" behindDoc="0" locked="0" layoutInCell="1" allowOverlap="1" wp14:anchorId="3AA4972A" wp14:editId="452132EA">
          <wp:simplePos x="0" y="0"/>
          <wp:positionH relativeFrom="margin">
            <wp:posOffset>2241550</wp:posOffset>
          </wp:positionH>
          <wp:positionV relativeFrom="paragraph">
            <wp:posOffset>-357299</wp:posOffset>
          </wp:positionV>
          <wp:extent cx="2187465" cy="8572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7465" cy="857250"/>
                  </a:xfrm>
                  <a:prstGeom prst="rect">
                    <a:avLst/>
                  </a:prstGeom>
                </pic:spPr>
              </pic:pic>
            </a:graphicData>
          </a:graphic>
        </wp:anchor>
      </w:drawing>
    </w:r>
    <w:r w:rsidR="00537498">
      <w:rPr>
        <w:rFonts w:ascii="Arial" w:hAnsi="Arial" w:cs="Arial"/>
        <w:noProof/>
        <w:color w:val="503F63"/>
        <w:sz w:val="20"/>
        <w:szCs w:val="20"/>
        <w:lang w:eastAsia="en-GB"/>
      </w:rPr>
      <w:drawing>
        <wp:anchor distT="0" distB="0" distL="114300" distR="114300" simplePos="0" relativeHeight="251667456" behindDoc="0" locked="0" layoutInCell="1" allowOverlap="1" wp14:anchorId="69D6008B" wp14:editId="4A0D18EE">
          <wp:simplePos x="0" y="0"/>
          <wp:positionH relativeFrom="column">
            <wp:posOffset>5168900</wp:posOffset>
          </wp:positionH>
          <wp:positionV relativeFrom="paragraph">
            <wp:posOffset>-368300</wp:posOffset>
          </wp:positionV>
          <wp:extent cx="1130300" cy="637540"/>
          <wp:effectExtent l="0" t="0" r="0" b="0"/>
          <wp:wrapNone/>
          <wp:docPr id="5" name="Picture 5" descr="NHS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300" cy="637540"/>
                  </a:xfrm>
                  <a:prstGeom prst="rect">
                    <a:avLst/>
                  </a:prstGeom>
                  <a:noFill/>
                  <a:ln>
                    <a:noFill/>
                  </a:ln>
                </pic:spPr>
              </pic:pic>
            </a:graphicData>
          </a:graphic>
        </wp:anchor>
      </w:drawing>
    </w:r>
    <w:r w:rsidR="00537498">
      <w:rPr>
        <w:noProof/>
        <w:lang w:eastAsia="en-GB"/>
      </w:rPr>
      <w:drawing>
        <wp:anchor distT="0" distB="0" distL="114300" distR="114300" simplePos="0" relativeHeight="251659264" behindDoc="1" locked="0" layoutInCell="1" allowOverlap="1" wp14:anchorId="6FE68F8B" wp14:editId="4DF75449">
          <wp:simplePos x="0" y="0"/>
          <wp:positionH relativeFrom="page">
            <wp:align>left</wp:align>
          </wp:positionH>
          <wp:positionV relativeFrom="paragraph">
            <wp:posOffset>-290195</wp:posOffset>
          </wp:positionV>
          <wp:extent cx="3035300"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Front-v2.png"/>
                  <pic:cNvPicPr/>
                </pic:nvPicPr>
                <pic:blipFill rotWithShape="1">
                  <a:blip r:embed="rId4">
                    <a:extLst>
                      <a:ext uri="{28A0092B-C50C-407E-A947-70E740481C1C}">
                        <a14:useLocalDpi xmlns:a14="http://schemas.microsoft.com/office/drawing/2010/main" val="0"/>
                      </a:ext>
                    </a:extLst>
                  </a:blip>
                  <a:srcRect l="59764" t="1547" b="91073"/>
                  <a:stretch/>
                </pic:blipFill>
                <pic:spPr bwMode="auto">
                  <a:xfrm>
                    <a:off x="0" y="0"/>
                    <a:ext cx="3035300"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7498">
      <w:rPr>
        <w:rFonts w:ascii="Arial" w:hAnsi="Arial" w:cs="Arial"/>
        <w:noProof/>
        <w:color w:val="503F63"/>
        <w:sz w:val="20"/>
        <w:szCs w:val="20"/>
        <w:lang w:eastAsia="en-GB"/>
      </w:rPr>
      <w:drawing>
        <wp:anchor distT="0" distB="0" distL="114300" distR="114300" simplePos="0" relativeHeight="251663360" behindDoc="0" locked="0" layoutInCell="1" allowOverlap="1" wp14:anchorId="4096F24E" wp14:editId="20927B25">
          <wp:simplePos x="0" y="0"/>
          <wp:positionH relativeFrom="column">
            <wp:posOffset>8352790</wp:posOffset>
          </wp:positionH>
          <wp:positionV relativeFrom="paragraph">
            <wp:posOffset>-241300</wp:posOffset>
          </wp:positionV>
          <wp:extent cx="1130300" cy="637540"/>
          <wp:effectExtent l="0" t="0" r="0" b="0"/>
          <wp:wrapNone/>
          <wp:docPr id="8" name="Picture 8" descr="NHS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300" cy="6375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DC"/>
    <w:multiLevelType w:val="hybridMultilevel"/>
    <w:tmpl w:val="4E84AA32"/>
    <w:lvl w:ilvl="0" w:tplc="97621FB8">
      <w:start w:val="1"/>
      <w:numFmt w:val="lowerLetter"/>
      <w:lvlText w:val="(%1)"/>
      <w:lvlJc w:val="left"/>
      <w:pPr>
        <w:ind w:left="1079" w:hanging="3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9B45FDC"/>
    <w:multiLevelType w:val="multilevel"/>
    <w:tmpl w:val="92EE495E"/>
    <w:lvl w:ilvl="0">
      <w:start w:val="3"/>
      <w:numFmt w:val="decimal"/>
      <w:lvlText w:val="%1"/>
      <w:lvlJc w:val="left"/>
      <w:pPr>
        <w:ind w:left="360" w:hanging="360"/>
      </w:pPr>
      <w:rPr>
        <w:rFonts w:hint="default"/>
      </w:rPr>
    </w:lvl>
    <w:lvl w:ilvl="1">
      <w:start w:val="2"/>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370" w:hanging="108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590" w:hanging="144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810" w:hanging="1800"/>
      </w:pPr>
      <w:rPr>
        <w:rFonts w:hint="default"/>
      </w:rPr>
    </w:lvl>
    <w:lvl w:ilvl="8">
      <w:start w:val="1"/>
      <w:numFmt w:val="decimal"/>
      <w:lvlText w:val="%1.%2.%3.%4.%5.%6.%7.%8.%9"/>
      <w:lvlJc w:val="left"/>
      <w:pPr>
        <w:ind w:left="5240" w:hanging="1800"/>
      </w:pPr>
      <w:rPr>
        <w:rFonts w:hint="default"/>
      </w:rPr>
    </w:lvl>
  </w:abstractNum>
  <w:abstractNum w:abstractNumId="2" w15:restartNumberingAfterBreak="0">
    <w:nsid w:val="104A2837"/>
    <w:multiLevelType w:val="multilevel"/>
    <w:tmpl w:val="7B7A61B2"/>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108B467F"/>
    <w:multiLevelType w:val="hybridMultilevel"/>
    <w:tmpl w:val="1B701A6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D651D"/>
    <w:multiLevelType w:val="hybridMultilevel"/>
    <w:tmpl w:val="C2B05A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E014F"/>
    <w:multiLevelType w:val="multilevel"/>
    <w:tmpl w:val="BEAED376"/>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6" w15:restartNumberingAfterBreak="0">
    <w:nsid w:val="16F1562E"/>
    <w:multiLevelType w:val="hybridMultilevel"/>
    <w:tmpl w:val="658AED8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BF137D"/>
    <w:multiLevelType w:val="multilevel"/>
    <w:tmpl w:val="CA00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E6EC5"/>
    <w:multiLevelType w:val="multilevel"/>
    <w:tmpl w:val="A9E443C8"/>
    <w:lvl w:ilvl="0">
      <w:start w:val="3"/>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9" w15:restartNumberingAfterBreak="0">
    <w:nsid w:val="2DC47811"/>
    <w:multiLevelType w:val="hybridMultilevel"/>
    <w:tmpl w:val="21B46A6E"/>
    <w:lvl w:ilvl="0" w:tplc="9FEA7CD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340E"/>
    <w:multiLevelType w:val="hybridMultilevel"/>
    <w:tmpl w:val="8C6E01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A44ABA"/>
    <w:multiLevelType w:val="hybridMultilevel"/>
    <w:tmpl w:val="FD98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23EC4"/>
    <w:multiLevelType w:val="multilevel"/>
    <w:tmpl w:val="F38E5082"/>
    <w:lvl w:ilvl="0">
      <w:start w:val="1"/>
      <w:numFmt w:val="decimal"/>
      <w:lvlText w:val="%1."/>
      <w:lvlJc w:val="left"/>
      <w:pPr>
        <w:ind w:left="470" w:hanging="470"/>
      </w:pPr>
      <w:rPr>
        <w:rFonts w:hint="default"/>
        <w:color w:val="auto"/>
        <w:sz w:val="22"/>
        <w:szCs w:val="22"/>
      </w:rPr>
    </w:lvl>
    <w:lvl w:ilvl="1">
      <w:start w:val="2"/>
      <w:numFmt w:val="decimal"/>
      <w:isLgl/>
      <w:lvlText w:val="%1.%2."/>
      <w:lvlJc w:val="left"/>
      <w:pPr>
        <w:ind w:left="430" w:hanging="430"/>
      </w:pPr>
      <w:rPr>
        <w:rFonts w:eastAsia="Times New Roman" w:hint="default"/>
        <w:color w:val="1F3763" w:themeColor="accent1" w:themeShade="7F"/>
        <w:sz w:val="22"/>
      </w:rPr>
    </w:lvl>
    <w:lvl w:ilvl="2">
      <w:start w:val="1"/>
      <w:numFmt w:val="decimal"/>
      <w:isLgl/>
      <w:lvlText w:val="%1.%2.%3."/>
      <w:lvlJc w:val="left"/>
      <w:pPr>
        <w:ind w:left="720" w:hanging="720"/>
      </w:pPr>
      <w:rPr>
        <w:rFonts w:eastAsia="Times New Roman" w:hint="default"/>
        <w:color w:val="1F3763" w:themeColor="accent1" w:themeShade="7F"/>
        <w:sz w:val="22"/>
      </w:rPr>
    </w:lvl>
    <w:lvl w:ilvl="3">
      <w:start w:val="1"/>
      <w:numFmt w:val="decimal"/>
      <w:isLgl/>
      <w:lvlText w:val="%1.%2.%3.%4."/>
      <w:lvlJc w:val="left"/>
      <w:pPr>
        <w:ind w:left="720" w:hanging="720"/>
      </w:pPr>
      <w:rPr>
        <w:rFonts w:eastAsia="Times New Roman" w:hint="default"/>
        <w:color w:val="1F3763" w:themeColor="accent1" w:themeShade="7F"/>
        <w:sz w:val="22"/>
      </w:rPr>
    </w:lvl>
    <w:lvl w:ilvl="4">
      <w:start w:val="1"/>
      <w:numFmt w:val="decimal"/>
      <w:isLgl/>
      <w:lvlText w:val="%1.%2.%3.%4.%5."/>
      <w:lvlJc w:val="left"/>
      <w:pPr>
        <w:ind w:left="1080" w:hanging="1080"/>
      </w:pPr>
      <w:rPr>
        <w:rFonts w:eastAsia="Times New Roman" w:hint="default"/>
        <w:color w:val="1F3763" w:themeColor="accent1" w:themeShade="7F"/>
        <w:sz w:val="22"/>
      </w:rPr>
    </w:lvl>
    <w:lvl w:ilvl="5">
      <w:start w:val="1"/>
      <w:numFmt w:val="decimal"/>
      <w:isLgl/>
      <w:lvlText w:val="%1.%2.%3.%4.%5.%6."/>
      <w:lvlJc w:val="left"/>
      <w:pPr>
        <w:ind w:left="1080" w:hanging="1080"/>
      </w:pPr>
      <w:rPr>
        <w:rFonts w:eastAsia="Times New Roman" w:hint="default"/>
        <w:color w:val="1F3763" w:themeColor="accent1" w:themeShade="7F"/>
        <w:sz w:val="22"/>
      </w:rPr>
    </w:lvl>
    <w:lvl w:ilvl="6">
      <w:start w:val="1"/>
      <w:numFmt w:val="decimal"/>
      <w:isLgl/>
      <w:lvlText w:val="%1.%2.%3.%4.%5.%6.%7."/>
      <w:lvlJc w:val="left"/>
      <w:pPr>
        <w:ind w:left="1440" w:hanging="1440"/>
      </w:pPr>
      <w:rPr>
        <w:rFonts w:eastAsia="Times New Roman" w:hint="default"/>
        <w:color w:val="1F3763" w:themeColor="accent1" w:themeShade="7F"/>
        <w:sz w:val="22"/>
      </w:rPr>
    </w:lvl>
    <w:lvl w:ilvl="7">
      <w:start w:val="1"/>
      <w:numFmt w:val="decimal"/>
      <w:isLgl/>
      <w:lvlText w:val="%1.%2.%3.%4.%5.%6.%7.%8."/>
      <w:lvlJc w:val="left"/>
      <w:pPr>
        <w:ind w:left="1440" w:hanging="1440"/>
      </w:pPr>
      <w:rPr>
        <w:rFonts w:eastAsia="Times New Roman" w:hint="default"/>
        <w:color w:val="1F3763" w:themeColor="accent1" w:themeShade="7F"/>
        <w:sz w:val="22"/>
      </w:rPr>
    </w:lvl>
    <w:lvl w:ilvl="8">
      <w:start w:val="1"/>
      <w:numFmt w:val="decimal"/>
      <w:isLgl/>
      <w:lvlText w:val="%1.%2.%3.%4.%5.%6.%7.%8.%9."/>
      <w:lvlJc w:val="left"/>
      <w:pPr>
        <w:ind w:left="1800" w:hanging="1800"/>
      </w:pPr>
      <w:rPr>
        <w:rFonts w:eastAsia="Times New Roman" w:hint="default"/>
        <w:color w:val="1F3763" w:themeColor="accent1" w:themeShade="7F"/>
        <w:sz w:val="22"/>
      </w:rPr>
    </w:lvl>
  </w:abstractNum>
  <w:abstractNum w:abstractNumId="13" w15:restartNumberingAfterBreak="0">
    <w:nsid w:val="53F22BA7"/>
    <w:multiLevelType w:val="hybridMultilevel"/>
    <w:tmpl w:val="C564446A"/>
    <w:lvl w:ilvl="0" w:tplc="A7B8F2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03843"/>
    <w:multiLevelType w:val="hybridMultilevel"/>
    <w:tmpl w:val="17DEED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F34991"/>
    <w:multiLevelType w:val="hybridMultilevel"/>
    <w:tmpl w:val="25EAC3B4"/>
    <w:lvl w:ilvl="0" w:tplc="08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8D97D0B"/>
    <w:multiLevelType w:val="hybridMultilevel"/>
    <w:tmpl w:val="4A16B268"/>
    <w:lvl w:ilvl="0" w:tplc="4A9A74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10"/>
  </w:num>
  <w:num w:numId="3">
    <w:abstractNumId w:val="4"/>
  </w:num>
  <w:num w:numId="4">
    <w:abstractNumId w:val="11"/>
  </w:num>
  <w:num w:numId="5">
    <w:abstractNumId w:val="2"/>
  </w:num>
  <w:num w:numId="6">
    <w:abstractNumId w:val="13"/>
  </w:num>
  <w:num w:numId="7">
    <w:abstractNumId w:val="7"/>
  </w:num>
  <w:num w:numId="8">
    <w:abstractNumId w:val="16"/>
  </w:num>
  <w:num w:numId="9">
    <w:abstractNumId w:val="14"/>
  </w:num>
  <w:num w:numId="10">
    <w:abstractNumId w:val="6"/>
  </w:num>
  <w:num w:numId="11">
    <w:abstractNumId w:val="5"/>
  </w:num>
  <w:num w:numId="12">
    <w:abstractNumId w:val="8"/>
  </w:num>
  <w:num w:numId="13">
    <w:abstractNumId w:val="0"/>
  </w:num>
  <w:num w:numId="14">
    <w:abstractNumId w:val="9"/>
  </w:num>
  <w:num w:numId="15">
    <w:abstractNumId w:val="12"/>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4B"/>
    <w:rsid w:val="00005516"/>
    <w:rsid w:val="00035096"/>
    <w:rsid w:val="00043526"/>
    <w:rsid w:val="000B1B8A"/>
    <w:rsid w:val="000B297C"/>
    <w:rsid w:val="000D0494"/>
    <w:rsid w:val="00137A85"/>
    <w:rsid w:val="00177B53"/>
    <w:rsid w:val="001A48FB"/>
    <w:rsid w:val="001A7F98"/>
    <w:rsid w:val="001B6EC1"/>
    <w:rsid w:val="001C71F2"/>
    <w:rsid w:val="001F4AFA"/>
    <w:rsid w:val="00221FA1"/>
    <w:rsid w:val="00240A4B"/>
    <w:rsid w:val="002A0420"/>
    <w:rsid w:val="002D1546"/>
    <w:rsid w:val="002D5573"/>
    <w:rsid w:val="002E34B7"/>
    <w:rsid w:val="002E78A9"/>
    <w:rsid w:val="0033285C"/>
    <w:rsid w:val="003518A9"/>
    <w:rsid w:val="00370435"/>
    <w:rsid w:val="003737FC"/>
    <w:rsid w:val="003B43D9"/>
    <w:rsid w:val="003D17F2"/>
    <w:rsid w:val="003D4AAB"/>
    <w:rsid w:val="003E252B"/>
    <w:rsid w:val="003E4700"/>
    <w:rsid w:val="00414C38"/>
    <w:rsid w:val="004232E0"/>
    <w:rsid w:val="004652EF"/>
    <w:rsid w:val="00490E86"/>
    <w:rsid w:val="00491193"/>
    <w:rsid w:val="004E2507"/>
    <w:rsid w:val="004E6433"/>
    <w:rsid w:val="005077F7"/>
    <w:rsid w:val="005113CA"/>
    <w:rsid w:val="00537498"/>
    <w:rsid w:val="00537588"/>
    <w:rsid w:val="00552B95"/>
    <w:rsid w:val="00562E31"/>
    <w:rsid w:val="005752C2"/>
    <w:rsid w:val="00576B68"/>
    <w:rsid w:val="0059400B"/>
    <w:rsid w:val="00597967"/>
    <w:rsid w:val="005A4C13"/>
    <w:rsid w:val="005B4EDB"/>
    <w:rsid w:val="005C16AC"/>
    <w:rsid w:val="005D250D"/>
    <w:rsid w:val="005F3C3B"/>
    <w:rsid w:val="005F5311"/>
    <w:rsid w:val="00647044"/>
    <w:rsid w:val="0067489B"/>
    <w:rsid w:val="006806F1"/>
    <w:rsid w:val="00681379"/>
    <w:rsid w:val="006A2B33"/>
    <w:rsid w:val="006A2E2D"/>
    <w:rsid w:val="006B2C89"/>
    <w:rsid w:val="006D160D"/>
    <w:rsid w:val="006E448F"/>
    <w:rsid w:val="006F1A43"/>
    <w:rsid w:val="006F78C9"/>
    <w:rsid w:val="007128DB"/>
    <w:rsid w:val="00745F77"/>
    <w:rsid w:val="00754C7B"/>
    <w:rsid w:val="007A374E"/>
    <w:rsid w:val="007A3D4E"/>
    <w:rsid w:val="007E733D"/>
    <w:rsid w:val="008330DC"/>
    <w:rsid w:val="00852AC2"/>
    <w:rsid w:val="008646F9"/>
    <w:rsid w:val="00895F23"/>
    <w:rsid w:val="008C7E1C"/>
    <w:rsid w:val="008E3FEA"/>
    <w:rsid w:val="00902A23"/>
    <w:rsid w:val="00914A26"/>
    <w:rsid w:val="00923C95"/>
    <w:rsid w:val="00936E3B"/>
    <w:rsid w:val="00951468"/>
    <w:rsid w:val="00960D92"/>
    <w:rsid w:val="00974CEA"/>
    <w:rsid w:val="009C29BA"/>
    <w:rsid w:val="009E1942"/>
    <w:rsid w:val="009F3FC2"/>
    <w:rsid w:val="00A01511"/>
    <w:rsid w:val="00A517BB"/>
    <w:rsid w:val="00A5742C"/>
    <w:rsid w:val="00A74AFE"/>
    <w:rsid w:val="00AA691B"/>
    <w:rsid w:val="00AB1B16"/>
    <w:rsid w:val="00AB6BF4"/>
    <w:rsid w:val="00AC00AE"/>
    <w:rsid w:val="00AC161D"/>
    <w:rsid w:val="00AC2173"/>
    <w:rsid w:val="00AD0AD5"/>
    <w:rsid w:val="00AD7487"/>
    <w:rsid w:val="00AE443C"/>
    <w:rsid w:val="00AE4902"/>
    <w:rsid w:val="00AE6774"/>
    <w:rsid w:val="00AF3145"/>
    <w:rsid w:val="00AF3A9F"/>
    <w:rsid w:val="00B36C46"/>
    <w:rsid w:val="00B7043A"/>
    <w:rsid w:val="00B77F4D"/>
    <w:rsid w:val="00B820BD"/>
    <w:rsid w:val="00BC13FD"/>
    <w:rsid w:val="00C17EDA"/>
    <w:rsid w:val="00C243A1"/>
    <w:rsid w:val="00C80DDA"/>
    <w:rsid w:val="00C8112A"/>
    <w:rsid w:val="00C95EC6"/>
    <w:rsid w:val="00CC0164"/>
    <w:rsid w:val="00CC2C18"/>
    <w:rsid w:val="00CE58F9"/>
    <w:rsid w:val="00D13E57"/>
    <w:rsid w:val="00D262DF"/>
    <w:rsid w:val="00D403DB"/>
    <w:rsid w:val="00D72126"/>
    <w:rsid w:val="00DA2F40"/>
    <w:rsid w:val="00DB0A2E"/>
    <w:rsid w:val="00DB6558"/>
    <w:rsid w:val="00DE5CE5"/>
    <w:rsid w:val="00E12609"/>
    <w:rsid w:val="00E13097"/>
    <w:rsid w:val="00E36FE4"/>
    <w:rsid w:val="00E51064"/>
    <w:rsid w:val="00E51B64"/>
    <w:rsid w:val="00E521BD"/>
    <w:rsid w:val="00E73E28"/>
    <w:rsid w:val="00E75684"/>
    <w:rsid w:val="00EA2BD4"/>
    <w:rsid w:val="00EC2D64"/>
    <w:rsid w:val="00EC4324"/>
    <w:rsid w:val="00EE2057"/>
    <w:rsid w:val="00F15898"/>
    <w:rsid w:val="00F2321C"/>
    <w:rsid w:val="00F54615"/>
    <w:rsid w:val="00F60F19"/>
    <w:rsid w:val="00F7398C"/>
    <w:rsid w:val="00F9330A"/>
    <w:rsid w:val="00FB5E54"/>
    <w:rsid w:val="00FB68F0"/>
    <w:rsid w:val="00FB6DE6"/>
    <w:rsid w:val="00FB79D2"/>
    <w:rsid w:val="00FC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19158"/>
  <w15:docId w15:val="{A81ABA44-001D-460E-B605-AE014C6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A4B"/>
  </w:style>
  <w:style w:type="paragraph" w:styleId="Heading2">
    <w:name w:val="heading 2"/>
    <w:basedOn w:val="Normal"/>
    <w:next w:val="Normal"/>
    <w:link w:val="Heading2Char"/>
    <w:uiPriority w:val="9"/>
    <w:unhideWhenUsed/>
    <w:qFormat/>
    <w:rsid w:val="00240A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0A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40A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A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0A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40A4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40A4B"/>
    <w:rPr>
      <w:color w:val="0000FF"/>
      <w:u w:val="single"/>
    </w:rPr>
  </w:style>
  <w:style w:type="paragraph" w:styleId="Footer">
    <w:name w:val="footer"/>
    <w:basedOn w:val="Normal"/>
    <w:link w:val="FooterChar"/>
    <w:uiPriority w:val="99"/>
    <w:unhideWhenUsed/>
    <w:rsid w:val="00240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A4B"/>
  </w:style>
  <w:style w:type="paragraph" w:styleId="ListParagraph">
    <w:name w:val="List Paragraph"/>
    <w:basedOn w:val="Normal"/>
    <w:uiPriority w:val="34"/>
    <w:qFormat/>
    <w:rsid w:val="00240A4B"/>
    <w:pPr>
      <w:ind w:left="720"/>
      <w:contextualSpacing/>
    </w:pPr>
  </w:style>
  <w:style w:type="paragraph" w:styleId="FootnoteText">
    <w:name w:val="footnote text"/>
    <w:basedOn w:val="Normal"/>
    <w:link w:val="FootnoteTextChar"/>
    <w:uiPriority w:val="99"/>
    <w:semiHidden/>
    <w:unhideWhenUsed/>
    <w:rsid w:val="00240A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A4B"/>
    <w:rPr>
      <w:sz w:val="20"/>
      <w:szCs w:val="20"/>
    </w:rPr>
  </w:style>
  <w:style w:type="character" w:styleId="FootnoteReference">
    <w:name w:val="footnote reference"/>
    <w:basedOn w:val="DefaultParagraphFont"/>
    <w:uiPriority w:val="99"/>
    <w:semiHidden/>
    <w:unhideWhenUsed/>
    <w:rsid w:val="00240A4B"/>
    <w:rPr>
      <w:vertAlign w:val="superscript"/>
    </w:rPr>
  </w:style>
  <w:style w:type="paragraph" w:styleId="Caption">
    <w:name w:val="caption"/>
    <w:basedOn w:val="Normal"/>
    <w:next w:val="Normal"/>
    <w:uiPriority w:val="35"/>
    <w:unhideWhenUsed/>
    <w:qFormat/>
    <w:rsid w:val="00240A4B"/>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240A4B"/>
    <w:rPr>
      <w:color w:val="808080"/>
      <w:shd w:val="clear" w:color="auto" w:fill="E6E6E6"/>
    </w:rPr>
  </w:style>
  <w:style w:type="character" w:styleId="CommentReference">
    <w:name w:val="annotation reference"/>
    <w:basedOn w:val="DefaultParagraphFont"/>
    <w:uiPriority w:val="99"/>
    <w:semiHidden/>
    <w:unhideWhenUsed/>
    <w:rsid w:val="00137A85"/>
    <w:rPr>
      <w:sz w:val="16"/>
      <w:szCs w:val="16"/>
    </w:rPr>
  </w:style>
  <w:style w:type="paragraph" w:styleId="CommentText">
    <w:name w:val="annotation text"/>
    <w:basedOn w:val="Normal"/>
    <w:link w:val="CommentTextChar"/>
    <w:uiPriority w:val="99"/>
    <w:semiHidden/>
    <w:unhideWhenUsed/>
    <w:rsid w:val="00137A85"/>
    <w:pPr>
      <w:spacing w:line="240" w:lineRule="auto"/>
    </w:pPr>
    <w:rPr>
      <w:sz w:val="20"/>
      <w:szCs w:val="20"/>
    </w:rPr>
  </w:style>
  <w:style w:type="character" w:customStyle="1" w:styleId="CommentTextChar">
    <w:name w:val="Comment Text Char"/>
    <w:basedOn w:val="DefaultParagraphFont"/>
    <w:link w:val="CommentText"/>
    <w:uiPriority w:val="99"/>
    <w:semiHidden/>
    <w:rsid w:val="00137A85"/>
    <w:rPr>
      <w:sz w:val="20"/>
      <w:szCs w:val="20"/>
    </w:rPr>
  </w:style>
  <w:style w:type="paragraph" w:styleId="CommentSubject">
    <w:name w:val="annotation subject"/>
    <w:basedOn w:val="CommentText"/>
    <w:next w:val="CommentText"/>
    <w:link w:val="CommentSubjectChar"/>
    <w:uiPriority w:val="99"/>
    <w:semiHidden/>
    <w:unhideWhenUsed/>
    <w:rsid w:val="00137A85"/>
    <w:rPr>
      <w:b/>
      <w:bCs/>
    </w:rPr>
  </w:style>
  <w:style w:type="character" w:customStyle="1" w:styleId="CommentSubjectChar">
    <w:name w:val="Comment Subject Char"/>
    <w:basedOn w:val="CommentTextChar"/>
    <w:link w:val="CommentSubject"/>
    <w:uiPriority w:val="99"/>
    <w:semiHidden/>
    <w:rsid w:val="00137A85"/>
    <w:rPr>
      <w:b/>
      <w:bCs/>
      <w:sz w:val="20"/>
      <w:szCs w:val="20"/>
    </w:rPr>
  </w:style>
  <w:style w:type="paragraph" w:styleId="BalloonText">
    <w:name w:val="Balloon Text"/>
    <w:basedOn w:val="Normal"/>
    <w:link w:val="BalloonTextChar"/>
    <w:uiPriority w:val="99"/>
    <w:semiHidden/>
    <w:unhideWhenUsed/>
    <w:rsid w:val="0013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A85"/>
    <w:rPr>
      <w:rFonts w:ascii="Segoe UI" w:hAnsi="Segoe UI" w:cs="Segoe UI"/>
      <w:sz w:val="18"/>
      <w:szCs w:val="18"/>
    </w:rPr>
  </w:style>
  <w:style w:type="paragraph" w:styleId="Header">
    <w:name w:val="header"/>
    <w:basedOn w:val="Normal"/>
    <w:link w:val="HeaderChar"/>
    <w:uiPriority w:val="99"/>
    <w:unhideWhenUsed/>
    <w:rsid w:val="00DB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558"/>
  </w:style>
  <w:style w:type="character" w:styleId="FollowedHyperlink">
    <w:name w:val="FollowedHyperlink"/>
    <w:basedOn w:val="DefaultParagraphFont"/>
    <w:uiPriority w:val="99"/>
    <w:semiHidden/>
    <w:unhideWhenUsed/>
    <w:rsid w:val="00DB0A2E"/>
    <w:rPr>
      <w:color w:val="954F72" w:themeColor="followedHyperlink"/>
      <w:u w:val="single"/>
    </w:rPr>
  </w:style>
  <w:style w:type="character" w:customStyle="1" w:styleId="UnresolvedMention">
    <w:name w:val="Unresolved Mention"/>
    <w:basedOn w:val="DefaultParagraphFont"/>
    <w:uiPriority w:val="99"/>
    <w:semiHidden/>
    <w:unhideWhenUsed/>
    <w:rsid w:val="00C17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36659">
      <w:bodyDiv w:val="1"/>
      <w:marLeft w:val="0"/>
      <w:marRight w:val="0"/>
      <w:marTop w:val="0"/>
      <w:marBottom w:val="0"/>
      <w:divBdr>
        <w:top w:val="none" w:sz="0" w:space="0" w:color="auto"/>
        <w:left w:val="none" w:sz="0" w:space="0" w:color="auto"/>
        <w:bottom w:val="none" w:sz="0" w:space="0" w:color="auto"/>
        <w:right w:val="none" w:sz="0" w:space="0" w:color="auto"/>
      </w:divBdr>
    </w:div>
    <w:div w:id="1487285461">
      <w:bodyDiv w:val="1"/>
      <w:marLeft w:val="0"/>
      <w:marRight w:val="0"/>
      <w:marTop w:val="0"/>
      <w:marBottom w:val="0"/>
      <w:divBdr>
        <w:top w:val="none" w:sz="0" w:space="0" w:color="auto"/>
        <w:left w:val="none" w:sz="0" w:space="0" w:color="auto"/>
        <w:bottom w:val="none" w:sz="0" w:space="0" w:color="auto"/>
        <w:right w:val="none" w:sz="0" w:space="0" w:color="auto"/>
      </w:divBdr>
    </w:div>
    <w:div w:id="17131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erfordiscover.org.uk/researcher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gisterfordiscover.org.uk/researcher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registerfordiscover.org.uk/researchers/how-to-access-discov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erfordiscover.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ra.nhs.uk/documents/1068/uk-policy-framework-health-social-care-researc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ers@registerfordiscover.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registerfordiscover.mtcserver3.com/"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94CD79565744DBCE3B1B6CC9660F4" ma:contentTypeVersion="13" ma:contentTypeDescription="Create a new document." ma:contentTypeScope="" ma:versionID="939b75dc444c5d3835255d089757d5f3">
  <xsd:schema xmlns:xsd="http://www.w3.org/2001/XMLSchema" xmlns:xs="http://www.w3.org/2001/XMLSchema" xmlns:p="http://schemas.microsoft.com/office/2006/metadata/properties" xmlns:ns2="e7fb9bad-05aa-461c-addc-7d8f2572d5d3" xmlns:ns3="37d011f5-24c4-4fb4-8405-b8c6b5679487" targetNamespace="http://schemas.microsoft.com/office/2006/metadata/properties" ma:root="true" ma:fieldsID="e0fb82f817b7ac87e4137b1735487db0" ns2:_="" ns3:_="">
    <xsd:import namespace="e7fb9bad-05aa-461c-addc-7d8f2572d5d3"/>
    <xsd:import namespace="37d011f5-24c4-4fb4-8405-b8c6b567948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9bad-05aa-461c-addc-7d8f2572d5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d011f5-24c4-4fb4-8405-b8c6b567948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814AE-24E1-45CE-880A-8295BC160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9E6A59-89D3-4DAA-954F-B424CA44B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b9bad-05aa-461c-addc-7d8f2572d5d3"/>
    <ds:schemaRef ds:uri="37d011f5-24c4-4fb4-8405-b8c6b567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9765F-D355-411E-953A-62915A8480FB}">
  <ds:schemaRefs>
    <ds:schemaRef ds:uri="http://schemas.microsoft.com/sharepoint/v3/contenttype/forms"/>
  </ds:schemaRefs>
</ds:datastoreItem>
</file>

<file path=customXml/itemProps4.xml><?xml version="1.0" encoding="utf-8"?>
<ds:datastoreItem xmlns:ds="http://schemas.openxmlformats.org/officeDocument/2006/customXml" ds:itemID="{D3E52990-D23D-4EF7-8699-87BD827F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Newton</dc:creator>
  <cp:lastModifiedBy>DELL</cp:lastModifiedBy>
  <cp:revision>3</cp:revision>
  <cp:lastPrinted>2019-09-25T15:04:00Z</cp:lastPrinted>
  <dcterms:created xsi:type="dcterms:W3CDTF">2020-07-06T16:34:00Z</dcterms:created>
  <dcterms:modified xsi:type="dcterms:W3CDTF">2020-07-06T16:36:00Z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0x0101005C294CD79565744DBCE3B1B6CC9660F4</vt:lpwstr>
  </property>
</Properties>
</file>